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2DF5A8" w14:textId="77777777" w:rsidR="001771A2" w:rsidRDefault="00D9625D">
      <w:pPr>
        <w:jc w:val="center"/>
        <w:rPr>
          <w:b/>
          <w:caps/>
        </w:rPr>
      </w:pPr>
      <w:r>
        <w:rPr>
          <w:b/>
          <w:caps/>
        </w:rPr>
        <w:t>Zarządzenie Nr 279/25</w:t>
      </w:r>
      <w:r>
        <w:rPr>
          <w:b/>
          <w:caps/>
        </w:rPr>
        <w:br/>
        <w:t>Prezydenta Miasta Gdańska</w:t>
      </w:r>
    </w:p>
    <w:p w14:paraId="7A36059F" w14:textId="77777777" w:rsidR="001771A2" w:rsidRDefault="00D9625D">
      <w:pPr>
        <w:spacing w:before="280" w:after="280"/>
        <w:jc w:val="center"/>
        <w:rPr>
          <w:b/>
          <w:caps/>
        </w:rPr>
      </w:pPr>
      <w:r>
        <w:t>z dnia 14 lutego 2025 r.</w:t>
      </w:r>
    </w:p>
    <w:p w14:paraId="05828B91" w14:textId="77777777" w:rsidR="001771A2" w:rsidRDefault="00D9625D">
      <w:pPr>
        <w:keepNext/>
        <w:spacing w:after="480"/>
        <w:jc w:val="center"/>
      </w:pPr>
      <w:r>
        <w:rPr>
          <w:b/>
        </w:rPr>
        <w:t>w sprawie wprowadzenia "Gdańskiej Karty dla Drzew"</w:t>
      </w:r>
    </w:p>
    <w:p w14:paraId="7C30F53E" w14:textId="77777777" w:rsidR="001771A2" w:rsidRDefault="00D9625D">
      <w:pPr>
        <w:keepLines/>
        <w:spacing w:before="120" w:after="120"/>
        <w:ind w:firstLine="227"/>
        <w:rPr>
          <w:color w:val="000000"/>
          <w:u w:color="000000"/>
        </w:rPr>
      </w:pPr>
      <w:r>
        <w:t>Na podstawie art. 7 ust. 1 pkt 1 i 12 w związku z art. 31 i art. 33 ust. 3 i 5 ustawy z dnia 8 marca 1990 r. o samorządzie gminnym (Dz. U. z 2024 r. poz. 1465, 1572, 1907, 1940), art. 92 ust. 1 pkt 2 ustawy z dnia 5 czerwca 1998 r. o samorządzie powiatowym (Dz.U. z 2024 r. poz. 107, 1907), art. 11 ust. 1 ustawy z dnia 21 sierpnia 1997 r.  o gospodarce nieruchomościami (Dz. U.  z 2024 r. poz. 1145, 1222, 1717, 1881) oraz art. 19 ust. 1 i 5 ustawy z dnia 21 marca 19865 r. o drogach publicznych (Dz.U. z 2024 r</w:t>
      </w:r>
      <w:r>
        <w:t xml:space="preserve">. poz. 230, 1222) </w:t>
      </w:r>
      <w:r>
        <w:rPr>
          <w:b/>
          <w:color w:val="000000"/>
          <w:u w:color="000000"/>
        </w:rPr>
        <w:t>zarządza się, co następuje:</w:t>
      </w:r>
    </w:p>
    <w:p w14:paraId="7D3D34DF" w14:textId="77777777" w:rsidR="001771A2" w:rsidRDefault="00D9625D">
      <w:pPr>
        <w:keepNext/>
        <w:keepLines/>
        <w:spacing w:line="360" w:lineRule="auto"/>
        <w:jc w:val="center"/>
        <w:rPr>
          <w:color w:val="000000"/>
          <w:u w:color="000000"/>
        </w:rPr>
      </w:pPr>
      <w:r>
        <w:rPr>
          <w:b/>
        </w:rPr>
        <w:t>Rozdział 1.</w:t>
      </w:r>
      <w:r>
        <w:rPr>
          <w:color w:val="000000"/>
          <w:u w:color="000000"/>
        </w:rPr>
        <w:br/>
      </w:r>
      <w:r>
        <w:rPr>
          <w:b/>
          <w:color w:val="000000"/>
          <w:u w:color="000000"/>
        </w:rPr>
        <w:t>Przepisy ogólne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66"/>
      </w:tblGrid>
      <w:tr w:rsidR="001771A2" w14:paraId="2BC4EB14" w14:textId="77777777">
        <w:tc>
          <w:tcPr>
            <w:tcW w:w="10070" w:type="dxa"/>
            <w:tcBorders>
              <w:top w:val="nil"/>
              <w:left w:val="nil"/>
              <w:bottom w:val="nil"/>
              <w:right w:val="nil"/>
            </w:tcBorders>
          </w:tcPr>
          <w:p w14:paraId="302237D6" w14:textId="77777777" w:rsidR="001771A2" w:rsidRDefault="00D9625D">
            <w:pPr>
              <w:rPr>
                <w:color w:val="000000"/>
                <w:u w:color="000000"/>
              </w:rPr>
            </w:pPr>
            <w:r>
              <w:t xml:space="preserve">Wprowadza się "Gdańską Kartę dla Drzew", </w:t>
            </w:r>
            <w:r>
              <w:t>określającą</w:t>
            </w:r>
            <w:r>
              <w:t xml:space="preserve"> zasady ochrony drzew oraz utrzymania i realizacji terenów zieleni na terenie miasta Gdańska.</w:t>
            </w:r>
          </w:p>
        </w:tc>
      </w:tr>
    </w:tbl>
    <w:p w14:paraId="3C7B2C0B" w14:textId="77777777" w:rsidR="001771A2" w:rsidRDefault="00D9625D">
      <w:pPr>
        <w:keepNext/>
        <w:spacing w:line="360" w:lineRule="auto"/>
        <w:jc w:val="center"/>
        <w:rPr>
          <w:color w:val="000000"/>
          <w:u w:color="000000"/>
        </w:rPr>
      </w:pPr>
      <w:r>
        <w:rPr>
          <w:b/>
        </w:rPr>
        <w:t>Rozdział 2.</w:t>
      </w:r>
      <w:r>
        <w:rPr>
          <w:color w:val="000000"/>
          <w:u w:color="000000"/>
        </w:rPr>
        <w:br/>
      </w:r>
      <w:r>
        <w:rPr>
          <w:b/>
          <w:color w:val="000000"/>
          <w:u w:color="000000"/>
        </w:rPr>
        <w:t>Standardy</w:t>
      </w:r>
    </w:p>
    <w:p w14:paraId="5C556A4D" w14:textId="77777777" w:rsidR="001771A2" w:rsidRDefault="00D9625D">
      <w:pPr>
        <w:keepLines/>
        <w:spacing w:before="120" w:after="120"/>
        <w:ind w:firstLine="340"/>
        <w:rPr>
          <w:color w:val="000000"/>
          <w:u w:color="000000"/>
        </w:rPr>
      </w:pPr>
      <w:r>
        <w:rPr>
          <w:b/>
        </w:rPr>
        <w:t>§ 1. </w:t>
      </w:r>
      <w:r>
        <w:t>1. </w:t>
      </w:r>
      <w:r>
        <w:rPr>
          <w:color w:val="000000"/>
          <w:u w:color="000000"/>
        </w:rPr>
        <w:t>Przyjmuje się:</w:t>
      </w:r>
    </w:p>
    <w:p w14:paraId="53DBF0AD" w14:textId="77777777" w:rsidR="001771A2" w:rsidRDefault="00D9625D">
      <w:pPr>
        <w:rPr>
          <w:color w:val="000000"/>
          <w:u w:color="000000"/>
        </w:rPr>
      </w:pPr>
      <w:r>
        <w:t>1) </w:t>
      </w:r>
      <w:r>
        <w:rPr>
          <w:color w:val="000000"/>
          <w:u w:color="000000"/>
        </w:rPr>
        <w:tab/>
        <w:t>„</w:t>
      </w:r>
      <w:r>
        <w:rPr>
          <w:color w:val="000000"/>
          <w:u w:color="000000"/>
        </w:rPr>
        <w:t>Standard ochrony drzew i innych form zieleni w procesie inwestycyjnym</w:t>
      </w:r>
      <w:r>
        <w:rPr>
          <w:color w:val="000000"/>
          <w:u w:color="000000"/>
        </w:rPr>
        <w:t>”</w:t>
      </w:r>
      <w:r>
        <w:rPr>
          <w:color w:val="000000"/>
          <w:u w:color="000000"/>
        </w:rPr>
        <w:t xml:space="preserve"> </w:t>
      </w:r>
      <w:r>
        <w:rPr>
          <w:color w:val="000000"/>
          <w:u w:color="000000"/>
        </w:rPr>
        <w:t>- stan na dzień 3</w:t>
      </w:r>
      <w:r>
        <w:rPr>
          <w:color w:val="000000"/>
          <w:u w:color="000000"/>
        </w:rPr>
        <w:t>0</w:t>
      </w:r>
      <w:r>
        <w:rPr>
          <w:color w:val="000000"/>
          <w:u w:color="000000"/>
        </w:rPr>
        <w:t xml:space="preserve"> stycznia 2025 r. - dostępny pod adresem: </w:t>
      </w:r>
      <w:hyperlink r:id="rId5" w:history="1">
        <w:r>
          <w:rPr>
            <w:rStyle w:val="Hipercze"/>
          </w:rPr>
          <w:t>https://download.cloudgdansk.pl/gzdiz-pl/d/2024105744/standard-ochrony-drzew-i-innych-form-zielenie-w-procesie-inwestycyjnym.pdf</w:t>
        </w:r>
      </w:hyperlink>
      <w:r>
        <w:rPr>
          <w:color w:val="000000"/>
          <w:u w:color="000000"/>
        </w:rPr>
        <w:t>;</w:t>
      </w:r>
    </w:p>
    <w:p w14:paraId="37ACFB7C" w14:textId="77777777" w:rsidR="001771A2" w:rsidRDefault="00D9625D">
      <w:pPr>
        <w:rPr>
          <w:color w:val="000000"/>
          <w:u w:color="000000"/>
        </w:rPr>
      </w:pPr>
      <w:r>
        <w:t>2) </w:t>
      </w:r>
      <w:r>
        <w:rPr>
          <w:color w:val="000000"/>
          <w:u w:color="000000"/>
        </w:rPr>
        <w:tab/>
        <w:t>„</w:t>
      </w:r>
      <w:r>
        <w:rPr>
          <w:color w:val="000000"/>
          <w:u w:color="000000"/>
        </w:rPr>
        <w:t>Standard cięcia i pielęgnacji drzew</w:t>
      </w:r>
      <w:r>
        <w:rPr>
          <w:color w:val="000000"/>
          <w:u w:color="000000"/>
        </w:rPr>
        <w:t>”</w:t>
      </w:r>
      <w:r>
        <w:rPr>
          <w:color w:val="000000"/>
          <w:u w:color="000000"/>
        </w:rPr>
        <w:t xml:space="preserve"> </w:t>
      </w:r>
      <w:r>
        <w:rPr>
          <w:color w:val="000000"/>
          <w:u w:color="000000"/>
        </w:rPr>
        <w:t>- stan na dzień 3</w:t>
      </w:r>
      <w:r>
        <w:rPr>
          <w:color w:val="000000"/>
          <w:u w:color="000000"/>
        </w:rPr>
        <w:t>0</w:t>
      </w:r>
      <w:r>
        <w:rPr>
          <w:color w:val="000000"/>
          <w:u w:color="000000"/>
        </w:rPr>
        <w:t xml:space="preserve"> stycznia 2025 r. - dostępny pod adresem:  </w:t>
      </w:r>
      <w:hyperlink r:id="rId6" w:history="1">
        <w:r>
          <w:rPr>
            <w:rStyle w:val="Hipercze"/>
          </w:rPr>
          <w:t>https://download.cloudgdansk.pl/gzdiz-pl/d/2024105742/standard-ciecia-i-pielegnacji-drzew.pdf</w:t>
        </w:r>
      </w:hyperlink>
      <w:r>
        <w:rPr>
          <w:color w:val="000000"/>
          <w:u w:color="000000"/>
        </w:rPr>
        <w:t>;</w:t>
      </w:r>
    </w:p>
    <w:p w14:paraId="02388756" w14:textId="77777777" w:rsidR="001771A2" w:rsidRDefault="00D9625D">
      <w:pPr>
        <w:rPr>
          <w:color w:val="000000"/>
          <w:u w:color="000000"/>
        </w:rPr>
      </w:pPr>
      <w:r>
        <w:t>3) </w:t>
      </w:r>
      <w:r>
        <w:rPr>
          <w:color w:val="000000"/>
          <w:u w:color="000000"/>
        </w:rPr>
        <w:tab/>
        <w:t>„</w:t>
      </w:r>
      <w:r>
        <w:rPr>
          <w:color w:val="000000"/>
          <w:u w:color="000000"/>
        </w:rPr>
        <w:t>Standard inspekcji i diagnostyki drzew</w:t>
      </w:r>
      <w:r>
        <w:rPr>
          <w:color w:val="000000"/>
          <w:u w:color="000000"/>
        </w:rPr>
        <w:t>”</w:t>
      </w:r>
      <w:r>
        <w:rPr>
          <w:color w:val="000000"/>
          <w:u w:color="000000"/>
        </w:rPr>
        <w:t xml:space="preserve"> </w:t>
      </w:r>
      <w:r>
        <w:rPr>
          <w:color w:val="000000"/>
          <w:u w:color="000000"/>
        </w:rPr>
        <w:t>- stan na dzień 3</w:t>
      </w:r>
      <w:r>
        <w:rPr>
          <w:color w:val="000000"/>
          <w:u w:color="000000"/>
        </w:rPr>
        <w:t>0</w:t>
      </w:r>
      <w:r>
        <w:rPr>
          <w:color w:val="000000"/>
          <w:u w:color="000000"/>
        </w:rPr>
        <w:t xml:space="preserve"> stycznia 2025 r. - dostępny pod adresem:  </w:t>
      </w:r>
      <w:hyperlink r:id="rId7" w:history="1">
        <w:r>
          <w:rPr>
            <w:rStyle w:val="Hipercze"/>
          </w:rPr>
          <w:t>https://download.cloudgdansk.pl/gzdiz-pl/d/2024105743/standard-inspekcji-i-diagnostyki-drzew.pdf</w:t>
        </w:r>
      </w:hyperlink>
      <w:r>
        <w:t>.</w:t>
      </w:r>
    </w:p>
    <w:p w14:paraId="4DACA610" w14:textId="77777777" w:rsidR="001771A2" w:rsidRDefault="00D9625D">
      <w:pPr>
        <w:keepLines/>
        <w:spacing w:before="120" w:after="120"/>
        <w:ind w:firstLine="340"/>
        <w:rPr>
          <w:color w:val="000000"/>
          <w:u w:color="000000"/>
        </w:rPr>
      </w:pPr>
      <w:r>
        <w:t>2. </w:t>
      </w:r>
      <w:r>
        <w:rPr>
          <w:color w:val="000000"/>
          <w:u w:color="000000"/>
        </w:rPr>
        <w:t xml:space="preserve">Przyjmuje się </w:t>
      </w:r>
      <w:r>
        <w:rPr>
          <w:color w:val="000000"/>
          <w:u w:color="000000"/>
        </w:rPr>
        <w:t>s</w:t>
      </w:r>
      <w:r>
        <w:rPr>
          <w:color w:val="000000"/>
          <w:u w:color="000000"/>
        </w:rPr>
        <w:t xml:space="preserve">tandard cyfrowego zapisu informacji o drzewach na terenie miasta Gdańska, zgodny z wymaganiami systemu </w:t>
      </w:r>
      <w:proofErr w:type="spellStart"/>
      <w:r>
        <w:rPr>
          <w:color w:val="000000"/>
          <w:u w:color="000000"/>
        </w:rPr>
        <w:t>GeoGdańsk</w:t>
      </w:r>
      <w:proofErr w:type="spellEnd"/>
      <w:r>
        <w:rPr>
          <w:color w:val="000000"/>
          <w:u w:color="000000"/>
        </w:rPr>
        <w:t>:</w:t>
      </w:r>
    </w:p>
    <w:p w14:paraId="736B9A04" w14:textId="77777777" w:rsidR="001771A2" w:rsidRDefault="00D9625D">
      <w:pPr>
        <w:keepLines/>
        <w:spacing w:before="120" w:after="120"/>
        <w:ind w:left="340" w:hanging="227"/>
        <w:rPr>
          <w:color w:val="000000"/>
          <w:u w:color="000000"/>
        </w:rPr>
      </w:pPr>
      <w:r>
        <w:t>1) </w:t>
      </w:r>
      <w:r>
        <w:rPr>
          <w:color w:val="000000"/>
          <w:u w:color="000000"/>
        </w:rPr>
        <w:t>d</w:t>
      </w:r>
      <w:r>
        <w:rPr>
          <w:color w:val="000000"/>
          <w:u w:color="000000"/>
        </w:rPr>
        <w:t>ane przestrzenne dostarczane przez wykonawcę w ramach realizacji opracowania lub zamówienia winny być zgodne z zasadami opisanymi niżej, chyba, że w zamówieniu określono inaczej;</w:t>
      </w:r>
    </w:p>
    <w:p w14:paraId="02007302" w14:textId="77777777" w:rsidR="001771A2" w:rsidRDefault="00D9625D">
      <w:pPr>
        <w:keepLines/>
        <w:spacing w:before="120" w:after="120"/>
        <w:ind w:left="340" w:hanging="227"/>
        <w:rPr>
          <w:color w:val="000000"/>
          <w:u w:color="000000"/>
        </w:rPr>
      </w:pPr>
      <w:r>
        <w:t>2) </w:t>
      </w:r>
      <w:r>
        <w:rPr>
          <w:color w:val="000000"/>
          <w:u w:color="000000"/>
        </w:rPr>
        <w:t>k</w:t>
      </w:r>
      <w:r>
        <w:rPr>
          <w:color w:val="000000"/>
          <w:u w:color="000000"/>
        </w:rPr>
        <w:t>ażda dana przestrzenna musi mieć wskazany lub opisany układ odniesienia:</w:t>
      </w:r>
    </w:p>
    <w:p w14:paraId="6648C866" w14:textId="77777777" w:rsidR="001771A2" w:rsidRDefault="00D9625D">
      <w:pPr>
        <w:keepLines/>
        <w:spacing w:before="120" w:after="120"/>
        <w:ind w:left="567" w:hanging="227"/>
        <w:rPr>
          <w:color w:val="000000"/>
          <w:u w:color="000000"/>
        </w:rPr>
      </w:pPr>
      <w:r>
        <w:t>a) </w:t>
      </w:r>
      <w:r>
        <w:rPr>
          <w:color w:val="000000"/>
          <w:u w:color="000000"/>
        </w:rPr>
        <w:t>j</w:t>
      </w:r>
      <w:r>
        <w:rPr>
          <w:color w:val="000000"/>
          <w:u w:color="000000"/>
        </w:rPr>
        <w:t>ako podstawowy układ odniesienia przestrzennego należy stosować układ współrzędnych PL-2000 strefa 6 (EPSG:2177),</w:t>
      </w:r>
    </w:p>
    <w:p w14:paraId="113CE580" w14:textId="77777777" w:rsidR="001771A2" w:rsidRDefault="00D9625D">
      <w:pPr>
        <w:keepLines/>
        <w:spacing w:before="120" w:after="120"/>
        <w:ind w:left="567" w:hanging="227"/>
        <w:rPr>
          <w:color w:val="000000"/>
          <w:u w:color="000000"/>
        </w:rPr>
      </w:pPr>
      <w:r>
        <w:t>b) </w:t>
      </w:r>
      <w:r>
        <w:rPr>
          <w:color w:val="000000"/>
          <w:u w:color="000000"/>
        </w:rPr>
        <w:t>d</w:t>
      </w:r>
      <w:r>
        <w:rPr>
          <w:color w:val="000000"/>
          <w:u w:color="000000"/>
        </w:rPr>
        <w:t xml:space="preserve">la danych przestrzennych zawierających informacje o </w:t>
      </w:r>
      <w:r>
        <w:rPr>
          <w:color w:val="000000"/>
          <w:u w:color="000000"/>
        </w:rPr>
        <w:t>wysokości należy stosować układ wysokościowy PL-EVRF2007-NH,</w:t>
      </w:r>
    </w:p>
    <w:p w14:paraId="683D0DF4" w14:textId="77777777" w:rsidR="001771A2" w:rsidRDefault="00D9625D">
      <w:pPr>
        <w:keepLines/>
        <w:spacing w:before="120" w:after="120"/>
        <w:ind w:left="567" w:hanging="227"/>
        <w:rPr>
          <w:color w:val="000000"/>
          <w:u w:color="000000"/>
        </w:rPr>
      </w:pPr>
      <w:r>
        <w:t>c) </w:t>
      </w:r>
      <w:r>
        <w:rPr>
          <w:color w:val="000000"/>
          <w:u w:color="000000"/>
        </w:rPr>
        <w:t>j</w:t>
      </w:r>
      <w:r>
        <w:rPr>
          <w:color w:val="000000"/>
          <w:u w:color="000000"/>
        </w:rPr>
        <w:t xml:space="preserve">ako preferowane formaty wskazuje się </w:t>
      </w:r>
      <w:proofErr w:type="spellStart"/>
      <w:r>
        <w:rPr>
          <w:color w:val="000000"/>
          <w:u w:color="000000"/>
        </w:rPr>
        <w:t>shapefile</w:t>
      </w:r>
      <w:proofErr w:type="spellEnd"/>
      <w:r>
        <w:rPr>
          <w:color w:val="000000"/>
          <w:u w:color="000000"/>
        </w:rPr>
        <w:t xml:space="preserve"> (SHP z plikami towarzyszącymi, minimum SHX, DBF, CPG i PRJ) i </w:t>
      </w:r>
      <w:proofErr w:type="spellStart"/>
      <w:r>
        <w:rPr>
          <w:color w:val="000000"/>
          <w:u w:color="000000"/>
        </w:rPr>
        <w:t>geobaza</w:t>
      </w:r>
      <w:proofErr w:type="spellEnd"/>
      <w:r>
        <w:rPr>
          <w:color w:val="000000"/>
          <w:u w:color="000000"/>
        </w:rPr>
        <w:t xml:space="preserve"> ESRI (GDB z powiązanymi plikami);</w:t>
      </w:r>
    </w:p>
    <w:p w14:paraId="094D3B29" w14:textId="77777777" w:rsidR="001771A2" w:rsidRDefault="00D9625D">
      <w:pPr>
        <w:keepLines/>
        <w:spacing w:before="120" w:after="120"/>
        <w:ind w:left="340" w:hanging="227"/>
        <w:rPr>
          <w:color w:val="000000"/>
          <w:u w:color="000000"/>
        </w:rPr>
      </w:pPr>
      <w:r>
        <w:t>3) </w:t>
      </w:r>
      <w:r>
        <w:rPr>
          <w:color w:val="000000"/>
          <w:u w:color="000000"/>
        </w:rPr>
        <w:t>i</w:t>
      </w:r>
      <w:r>
        <w:rPr>
          <w:color w:val="000000"/>
          <w:u w:color="000000"/>
        </w:rPr>
        <w:t>nformacje powiązane (zwane również atrybutami danych przestrzennych):</w:t>
      </w:r>
    </w:p>
    <w:p w14:paraId="72E34E7C" w14:textId="77777777" w:rsidR="001771A2" w:rsidRDefault="00D9625D">
      <w:pPr>
        <w:keepLines/>
        <w:spacing w:before="120" w:after="120"/>
        <w:ind w:left="567" w:hanging="227"/>
        <w:rPr>
          <w:color w:val="000000"/>
          <w:u w:color="000000"/>
        </w:rPr>
      </w:pPr>
      <w:r>
        <w:t>a) </w:t>
      </w:r>
      <w:r>
        <w:rPr>
          <w:color w:val="000000"/>
          <w:u w:color="000000"/>
        </w:rPr>
        <w:t>i</w:t>
      </w:r>
      <w:r>
        <w:rPr>
          <w:color w:val="000000"/>
          <w:u w:color="000000"/>
        </w:rPr>
        <w:t>nformacje powiązane muszą posiadać co najmniej jeden element pozwalający zestawiać, łączyć i porównywać je między sobą w tym jednoznacznie wskazywać lokalizację zjawiska, którego dotyczą oraz umożliwiać identyfikację pojedynczych obiektów,</w:t>
      </w:r>
    </w:p>
    <w:p w14:paraId="1546ECE7" w14:textId="77777777" w:rsidR="001771A2" w:rsidRDefault="00D9625D">
      <w:pPr>
        <w:keepLines/>
        <w:spacing w:before="120" w:after="120"/>
        <w:ind w:left="567" w:hanging="227"/>
        <w:rPr>
          <w:color w:val="000000"/>
          <w:u w:color="000000"/>
        </w:rPr>
      </w:pPr>
      <w:r>
        <w:t>b) </w:t>
      </w:r>
      <w:r>
        <w:rPr>
          <w:color w:val="000000"/>
          <w:u w:color="000000"/>
        </w:rPr>
        <w:t>a</w:t>
      </w:r>
      <w:r>
        <w:rPr>
          <w:color w:val="000000"/>
          <w:u w:color="000000"/>
        </w:rPr>
        <w:t>trybuty opisujące lokalizację muszą zawierać przynajmniej:</w:t>
      </w:r>
    </w:p>
    <w:p w14:paraId="5CFB0526" w14:textId="77777777" w:rsidR="001771A2" w:rsidRDefault="00D9625D">
      <w:pPr>
        <w:keepLines/>
        <w:spacing w:before="120" w:after="120"/>
        <w:ind w:left="794" w:hanging="113"/>
        <w:rPr>
          <w:color w:val="000000"/>
          <w:u w:color="000000"/>
        </w:rPr>
      </w:pPr>
      <w:r>
        <w:t>- </w:t>
      </w:r>
      <w:r>
        <w:rPr>
          <w:color w:val="000000"/>
          <w:u w:color="000000"/>
        </w:rPr>
        <w:t>współrzędne w zastosowanym układzie odniesienia,</w:t>
      </w:r>
    </w:p>
    <w:p w14:paraId="25017B97" w14:textId="77777777" w:rsidR="001771A2" w:rsidRDefault="00D9625D">
      <w:pPr>
        <w:keepLines/>
        <w:spacing w:before="120" w:after="120"/>
        <w:ind w:left="794" w:hanging="113"/>
        <w:rPr>
          <w:color w:val="000000"/>
          <w:u w:color="000000"/>
        </w:rPr>
      </w:pPr>
      <w:r>
        <w:t>- </w:t>
      </w:r>
      <w:r>
        <w:rPr>
          <w:color w:val="000000"/>
          <w:u w:color="000000"/>
        </w:rPr>
        <w:t>nr działki i obrębu nieruchomości, na której się znajduje obiekt zgodny z danymi przechowywanymi w bazie danych Wydziału Geodezji,</w:t>
      </w:r>
    </w:p>
    <w:p w14:paraId="44EF2234" w14:textId="77777777" w:rsidR="001771A2" w:rsidRDefault="00D9625D">
      <w:pPr>
        <w:keepLines/>
        <w:spacing w:before="120" w:after="120"/>
        <w:ind w:left="567" w:hanging="227"/>
        <w:rPr>
          <w:color w:val="000000"/>
          <w:u w:color="000000"/>
        </w:rPr>
      </w:pPr>
      <w:r>
        <w:lastRenderedPageBreak/>
        <w:t>c) </w:t>
      </w:r>
      <w:r>
        <w:rPr>
          <w:color w:val="000000"/>
          <w:u w:color="000000"/>
        </w:rPr>
        <w:t>i</w:t>
      </w:r>
      <w:r>
        <w:rPr>
          <w:color w:val="000000"/>
          <w:u w:color="000000"/>
        </w:rPr>
        <w:t>nformacje o współrzędnych muszą być zapisywane z dokładnością pozwalającą na jednoznaczną lokalizację obiektów w skali odwzorowania 1:1000 albo większej i rozróżnienie pomiędzy obiektami takiego samego typu,</w:t>
      </w:r>
    </w:p>
    <w:p w14:paraId="24FFF045" w14:textId="77777777" w:rsidR="001771A2" w:rsidRDefault="00D9625D">
      <w:pPr>
        <w:keepLines/>
        <w:spacing w:before="120" w:after="120"/>
        <w:ind w:left="567" w:hanging="227"/>
        <w:rPr>
          <w:color w:val="000000"/>
          <w:u w:color="000000"/>
        </w:rPr>
      </w:pPr>
      <w:r>
        <w:t>d) </w:t>
      </w:r>
      <w:r>
        <w:rPr>
          <w:color w:val="000000"/>
          <w:u w:color="000000"/>
        </w:rPr>
        <w:t>w</w:t>
      </w:r>
      <w:r>
        <w:rPr>
          <w:color w:val="000000"/>
          <w:u w:color="000000"/>
        </w:rPr>
        <w:t xml:space="preserve"> miarę możliwości należy dążyć do optymalizacji atrybutów danych poprzez słownikowanie ich wartości,</w:t>
      </w:r>
    </w:p>
    <w:p w14:paraId="09B15692" w14:textId="77777777" w:rsidR="001771A2" w:rsidRDefault="00D9625D">
      <w:pPr>
        <w:keepLines/>
        <w:spacing w:before="120" w:after="120"/>
        <w:ind w:left="567" w:hanging="227"/>
        <w:rPr>
          <w:color w:val="000000"/>
          <w:u w:color="000000"/>
        </w:rPr>
      </w:pPr>
      <w:r>
        <w:t>e) </w:t>
      </w:r>
      <w:r>
        <w:rPr>
          <w:color w:val="000000"/>
          <w:u w:color="000000"/>
        </w:rPr>
        <w:t>j</w:t>
      </w:r>
      <w:r>
        <w:rPr>
          <w:color w:val="000000"/>
          <w:u w:color="000000"/>
        </w:rPr>
        <w:t>ako podstawowy słownik nazw ulic wskazuje się TERYT ULIC. W przypadku pełnych adresów należy podawać je jako oddzielne atrybuty (np. nazwę ulicy, nr punktu adresowego i nr lokalu oddzielnie),</w:t>
      </w:r>
    </w:p>
    <w:p w14:paraId="7352C7CC" w14:textId="77777777" w:rsidR="001771A2" w:rsidRDefault="00D9625D">
      <w:pPr>
        <w:keepLines/>
        <w:spacing w:before="120" w:after="120"/>
        <w:ind w:left="567" w:hanging="227"/>
        <w:rPr>
          <w:color w:val="000000"/>
          <w:u w:color="000000"/>
        </w:rPr>
      </w:pPr>
      <w:r>
        <w:t>f) </w:t>
      </w:r>
      <w:r>
        <w:rPr>
          <w:color w:val="000000"/>
          <w:u w:color="000000"/>
        </w:rPr>
        <w:t>o</w:t>
      </w:r>
      <w:r>
        <w:rPr>
          <w:color w:val="000000"/>
          <w:u w:color="000000"/>
        </w:rPr>
        <w:t>znaczenie działek geodezyjnych należy podawać jako identyfikator działki albo numer obrębu i numer działki jako oddzielne atrybuty,</w:t>
      </w:r>
    </w:p>
    <w:p w14:paraId="49C7D61E" w14:textId="77777777" w:rsidR="001771A2" w:rsidRDefault="00D9625D">
      <w:pPr>
        <w:keepLines/>
        <w:spacing w:before="120" w:after="120"/>
        <w:ind w:left="567" w:hanging="227"/>
        <w:rPr>
          <w:color w:val="000000"/>
          <w:u w:color="000000"/>
        </w:rPr>
      </w:pPr>
      <w:r>
        <w:t>g) </w:t>
      </w:r>
      <w:r>
        <w:rPr>
          <w:color w:val="000000"/>
          <w:u w:color="000000"/>
        </w:rPr>
        <w:t>i</w:t>
      </w:r>
      <w:r>
        <w:rPr>
          <w:color w:val="000000"/>
          <w:u w:color="000000"/>
        </w:rPr>
        <w:t>nformacje geometryczne muszą być poprawne topologicznie (połączenia między obiektami na mapie) na poziomie umożliwiającym przetwarzanie danych przestrzennych i zapewniającym spójność danych,</w:t>
      </w:r>
    </w:p>
    <w:p w14:paraId="126E243A" w14:textId="77777777" w:rsidR="001771A2" w:rsidRDefault="00D9625D">
      <w:pPr>
        <w:keepLines/>
        <w:spacing w:before="120" w:after="120"/>
        <w:ind w:left="567" w:hanging="227"/>
        <w:rPr>
          <w:color w:val="000000"/>
          <w:u w:color="000000"/>
        </w:rPr>
      </w:pPr>
      <w:r>
        <w:t>h) </w:t>
      </w:r>
      <w:r>
        <w:rPr>
          <w:color w:val="000000"/>
          <w:u w:color="000000"/>
        </w:rPr>
        <w:t>i</w:t>
      </w:r>
      <w:r>
        <w:rPr>
          <w:color w:val="000000"/>
          <w:u w:color="000000"/>
        </w:rPr>
        <w:t>nformacje służące do wizualizacji jako etykiety stosowane na mapach powinny być przygotowane jako atrybuty danych, których dotyczą,</w:t>
      </w:r>
    </w:p>
    <w:p w14:paraId="26708B0E" w14:textId="77777777" w:rsidR="001771A2" w:rsidRDefault="00D9625D">
      <w:pPr>
        <w:keepLines/>
        <w:spacing w:before="120" w:after="120"/>
        <w:ind w:left="567" w:hanging="227"/>
        <w:rPr>
          <w:color w:val="000000"/>
          <w:u w:color="000000"/>
        </w:rPr>
      </w:pPr>
      <w:r>
        <w:t>i) </w:t>
      </w:r>
      <w:r>
        <w:rPr>
          <w:color w:val="000000"/>
          <w:u w:color="000000"/>
        </w:rPr>
        <w:t>a</w:t>
      </w:r>
      <w:r>
        <w:rPr>
          <w:color w:val="000000"/>
          <w:u w:color="000000"/>
        </w:rPr>
        <w:t>trybuty należy zapisywać z zastosowaniem tablic kodowania znaków w standardzie UTF-8,</w:t>
      </w:r>
    </w:p>
    <w:p w14:paraId="46936496" w14:textId="77777777" w:rsidR="001771A2" w:rsidRDefault="00D9625D">
      <w:pPr>
        <w:keepLines/>
        <w:spacing w:before="120" w:after="120"/>
        <w:ind w:left="567" w:hanging="227"/>
        <w:rPr>
          <w:color w:val="000000"/>
          <w:u w:color="000000"/>
        </w:rPr>
      </w:pPr>
      <w:r>
        <w:t>j) </w:t>
      </w:r>
      <w:r>
        <w:rPr>
          <w:color w:val="000000"/>
          <w:u w:color="000000"/>
        </w:rPr>
        <w:t>w</w:t>
      </w:r>
      <w:r>
        <w:rPr>
          <w:color w:val="000000"/>
          <w:u w:color="000000"/>
        </w:rPr>
        <w:t xml:space="preserve"> marę możliwości przy pozyskiwaniu dokumentacji zdjęciowej pojedyncze fotografie należy opisywać lokalizacją z jakiego miejsca je zrobiono, tj. zapisywać w metadanych </w:t>
      </w:r>
      <w:proofErr w:type="spellStart"/>
      <w:r>
        <w:rPr>
          <w:color w:val="000000"/>
          <w:u w:color="000000"/>
        </w:rPr>
        <w:t>geotagi</w:t>
      </w:r>
      <w:proofErr w:type="spellEnd"/>
      <w:r>
        <w:rPr>
          <w:color w:val="000000"/>
          <w:u w:color="000000"/>
        </w:rPr>
        <w:t xml:space="preserve"> a nazwy nadawać zgodne z numer inwentaryzacyjnym drzewa</w:t>
      </w:r>
      <w:r>
        <w:rPr>
          <w:color w:val="000000"/>
          <w:u w:color="000000"/>
        </w:rPr>
        <w:t>;</w:t>
      </w:r>
    </w:p>
    <w:p w14:paraId="1F86B9CB" w14:textId="77777777" w:rsidR="001771A2" w:rsidRDefault="00D9625D">
      <w:pPr>
        <w:keepLines/>
        <w:spacing w:before="120" w:after="120"/>
        <w:ind w:firstLine="340"/>
        <w:rPr>
          <w:color w:val="000000"/>
          <w:u w:color="000000"/>
        </w:rPr>
      </w:pPr>
      <w:r>
        <w:t>4</w:t>
      </w:r>
      <w:r>
        <w:t>)</w:t>
      </w:r>
      <w:r>
        <w:t> </w:t>
      </w:r>
      <w:r>
        <w:rPr>
          <w:color w:val="000000"/>
          <w:u w:color="000000"/>
        </w:rPr>
        <w:t>Zasady związane z bazą danych (nazywanie, słowniki, gospodarze):</w:t>
      </w:r>
    </w:p>
    <w:p w14:paraId="0E92586C" w14:textId="77777777" w:rsidR="001771A2" w:rsidRDefault="00D9625D">
      <w:pPr>
        <w:keepLines/>
        <w:spacing w:before="120" w:after="120"/>
        <w:ind w:left="227" w:hanging="227"/>
        <w:rPr>
          <w:color w:val="000000"/>
          <w:u w:color="000000"/>
        </w:rPr>
      </w:pPr>
      <w:r>
        <w:t>a) </w:t>
      </w:r>
      <w:r>
        <w:rPr>
          <w:color w:val="000000"/>
          <w:u w:color="000000"/>
        </w:rPr>
        <w:t>n</w:t>
      </w:r>
      <w:r>
        <w:rPr>
          <w:color w:val="000000"/>
          <w:u w:color="000000"/>
        </w:rPr>
        <w:t xml:space="preserve">azwy atrybutów </w:t>
      </w:r>
      <w:r>
        <w:rPr>
          <w:color w:val="000000"/>
          <w:u w:color="000000"/>
        </w:rPr>
        <w:t>tworzy się</w:t>
      </w:r>
      <w:r>
        <w:rPr>
          <w:color w:val="000000"/>
          <w:u w:color="000000"/>
        </w:rPr>
        <w:t xml:space="preserve"> zgodnie z zasadami</w:t>
      </w:r>
      <w:r>
        <w:rPr>
          <w:color w:val="000000"/>
          <w:u w:color="000000"/>
        </w:rPr>
        <w:t xml:space="preserve"> zawartymi w poniższej tabeli,</w:t>
      </w:r>
      <w:r>
        <w:rPr>
          <w:color w:val="000000"/>
          <w:u w:color="000000"/>
        </w:rPr>
        <w:t xml:space="preserve"> tzn. bez niektórych znaków specjalnych i polskich liter,</w:t>
      </w:r>
    </w:p>
    <w:p w14:paraId="1F56D924" w14:textId="77777777" w:rsidR="001771A2" w:rsidRDefault="00D9625D">
      <w:pPr>
        <w:keepLines/>
        <w:spacing w:before="120" w:after="120"/>
        <w:ind w:left="227" w:hanging="227"/>
        <w:rPr>
          <w:color w:val="000000"/>
          <w:u w:color="000000"/>
        </w:rPr>
      </w:pPr>
      <w:r>
        <w:rPr>
          <w:color w:val="000000"/>
          <w:u w:color="000000"/>
        </w:rPr>
        <w:t>b) </w:t>
      </w:r>
      <w:r>
        <w:rPr>
          <w:color w:val="000000"/>
          <w:u w:color="000000"/>
        </w:rPr>
        <w:t>w</w:t>
      </w:r>
      <w:r>
        <w:rPr>
          <w:color w:val="000000"/>
          <w:u w:color="000000"/>
        </w:rPr>
        <w:t xml:space="preserve">artości określające atrybuty powinny być w jak największym stopniu </w:t>
      </w:r>
      <w:proofErr w:type="spellStart"/>
      <w:r>
        <w:rPr>
          <w:color w:val="000000"/>
          <w:u w:color="000000"/>
        </w:rPr>
        <w:t>zesłownikowane</w:t>
      </w:r>
      <w:proofErr w:type="spellEnd"/>
      <w:r>
        <w:rPr>
          <w:color w:val="000000"/>
          <w:u w:color="000000"/>
        </w:rPr>
        <w:t xml:space="preserve">, </w:t>
      </w:r>
      <w:r>
        <w:rPr>
          <w:color w:val="000000"/>
          <w:u w:color="000000"/>
        </w:rPr>
        <w:t>i</w:t>
      </w:r>
      <w:r>
        <w:rPr>
          <w:color w:val="000000"/>
          <w:u w:color="000000"/>
        </w:rPr>
        <w:t xml:space="preserve"> zapisywane zgodnie zasadami</w:t>
      </w:r>
      <w:r>
        <w:rPr>
          <w:color w:val="000000"/>
          <w:u w:color="000000"/>
        </w:rPr>
        <w:t xml:space="preserve"> </w:t>
      </w:r>
      <w:r>
        <w:rPr>
          <w:color w:val="000000"/>
          <w:u w:color="000000"/>
        </w:rPr>
        <w:t>zawartymi w poniższej tabeli, tak jak w przypadku nazw atrybutów,</w:t>
      </w:r>
    </w:p>
    <w:tbl>
      <w:tblPr>
        <w:tblW w:w="9980" w:type="dxa"/>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5"/>
        <w:gridCol w:w="4961"/>
        <w:gridCol w:w="1582"/>
        <w:gridCol w:w="1462"/>
        <w:gridCol w:w="1450"/>
      </w:tblGrid>
      <w:tr w:rsidR="001771A2" w14:paraId="4081F412" w14:textId="77777777">
        <w:trPr>
          <w:trHeight w:val="585"/>
        </w:trPr>
        <w:tc>
          <w:tcPr>
            <w:tcW w:w="9980" w:type="dxa"/>
            <w:gridSpan w:val="5"/>
            <w:tcBorders>
              <w:top w:val="single" w:sz="2" w:space="0" w:color="000000"/>
              <w:left w:val="single" w:sz="2" w:space="0" w:color="000000"/>
              <w:bottom w:val="single" w:sz="2" w:space="0" w:color="000000"/>
              <w:right w:val="single" w:sz="2" w:space="0" w:color="000000"/>
            </w:tcBorders>
            <w:vAlign w:val="center"/>
          </w:tcPr>
          <w:p w14:paraId="61D4EC81" w14:textId="77777777" w:rsidR="001771A2" w:rsidRDefault="00D9625D">
            <w:pPr>
              <w:jc w:val="center"/>
              <w:rPr>
                <w:color w:val="000000"/>
                <w:u w:color="000000"/>
              </w:rPr>
            </w:pPr>
            <w:r>
              <w:t xml:space="preserve">Zasady </w:t>
            </w:r>
            <w:r>
              <w:t>tworzenia nazw dla tabel, nazw kolumn i słowników w fizycznym modelu bazy danych</w:t>
            </w:r>
          </w:p>
        </w:tc>
      </w:tr>
      <w:tr w:rsidR="001771A2" w14:paraId="7FDB0721" w14:textId="77777777">
        <w:trPr>
          <w:trHeight w:val="585"/>
        </w:trPr>
        <w:tc>
          <w:tcPr>
            <w:tcW w:w="525" w:type="dxa"/>
            <w:tcBorders>
              <w:top w:val="single" w:sz="2" w:space="0" w:color="000000"/>
              <w:left w:val="single" w:sz="2" w:space="0" w:color="000000"/>
              <w:bottom w:val="single" w:sz="2" w:space="0" w:color="000000"/>
              <w:right w:val="single" w:sz="2" w:space="0" w:color="000000"/>
            </w:tcBorders>
          </w:tcPr>
          <w:p w14:paraId="547D1CE5" w14:textId="77777777" w:rsidR="001771A2" w:rsidRDefault="00D9625D">
            <w:pPr>
              <w:jc w:val="center"/>
            </w:pPr>
            <w:r>
              <w:t>Lp.</w:t>
            </w:r>
          </w:p>
        </w:tc>
        <w:tc>
          <w:tcPr>
            <w:tcW w:w="4961" w:type="dxa"/>
            <w:tcBorders>
              <w:top w:val="single" w:sz="2" w:space="0" w:color="000000"/>
              <w:left w:val="single" w:sz="2" w:space="0" w:color="000000"/>
              <w:bottom w:val="single" w:sz="2" w:space="0" w:color="000000"/>
              <w:right w:val="single" w:sz="2" w:space="0" w:color="000000"/>
            </w:tcBorders>
          </w:tcPr>
          <w:p w14:paraId="5ECA6C89" w14:textId="77777777" w:rsidR="001771A2" w:rsidRDefault="00D9625D">
            <w:pPr>
              <w:jc w:val="center"/>
              <w:rPr>
                <w:color w:val="000000"/>
                <w:u w:color="000000"/>
              </w:rPr>
            </w:pPr>
            <w:r>
              <w:t>Zasady</w:t>
            </w:r>
          </w:p>
        </w:tc>
        <w:tc>
          <w:tcPr>
            <w:tcW w:w="1582" w:type="dxa"/>
            <w:tcBorders>
              <w:top w:val="single" w:sz="2" w:space="0" w:color="000000"/>
              <w:left w:val="single" w:sz="2" w:space="0" w:color="000000"/>
              <w:bottom w:val="single" w:sz="2" w:space="0" w:color="000000"/>
              <w:right w:val="single" w:sz="2" w:space="0" w:color="000000"/>
            </w:tcBorders>
          </w:tcPr>
          <w:p w14:paraId="16B29A77" w14:textId="77777777" w:rsidR="001771A2" w:rsidRDefault="00D9625D">
            <w:pPr>
              <w:jc w:val="center"/>
              <w:rPr>
                <w:color w:val="000000"/>
                <w:u w:color="000000"/>
              </w:rPr>
            </w:pPr>
            <w:r>
              <w:t>Tabela</w:t>
            </w:r>
          </w:p>
        </w:tc>
        <w:tc>
          <w:tcPr>
            <w:tcW w:w="1462" w:type="dxa"/>
            <w:tcBorders>
              <w:top w:val="single" w:sz="2" w:space="0" w:color="000000"/>
              <w:left w:val="single" w:sz="2" w:space="0" w:color="000000"/>
              <w:bottom w:val="single" w:sz="2" w:space="0" w:color="000000"/>
              <w:right w:val="single" w:sz="2" w:space="0" w:color="000000"/>
            </w:tcBorders>
          </w:tcPr>
          <w:p w14:paraId="5CDC80C6" w14:textId="77777777" w:rsidR="001771A2" w:rsidRDefault="00D9625D">
            <w:pPr>
              <w:jc w:val="center"/>
              <w:rPr>
                <w:color w:val="000000"/>
                <w:u w:color="000000"/>
              </w:rPr>
            </w:pPr>
            <w:r>
              <w:t>Kolumna</w:t>
            </w:r>
          </w:p>
        </w:tc>
        <w:tc>
          <w:tcPr>
            <w:tcW w:w="1412" w:type="dxa"/>
            <w:tcBorders>
              <w:top w:val="single" w:sz="2" w:space="0" w:color="000000"/>
              <w:left w:val="single" w:sz="2" w:space="0" w:color="000000"/>
              <w:bottom w:val="single" w:sz="2" w:space="0" w:color="000000"/>
              <w:right w:val="single" w:sz="2" w:space="0" w:color="000000"/>
            </w:tcBorders>
          </w:tcPr>
          <w:p w14:paraId="124518F4" w14:textId="77777777" w:rsidR="001771A2" w:rsidRDefault="00D9625D">
            <w:pPr>
              <w:jc w:val="center"/>
              <w:rPr>
                <w:color w:val="000000"/>
                <w:u w:color="000000"/>
              </w:rPr>
            </w:pPr>
            <w:r>
              <w:t>Słownik</w:t>
            </w:r>
          </w:p>
        </w:tc>
      </w:tr>
      <w:tr w:rsidR="001771A2" w14:paraId="2C2F3540" w14:textId="77777777">
        <w:trPr>
          <w:trHeight w:val="270"/>
        </w:trPr>
        <w:tc>
          <w:tcPr>
            <w:tcW w:w="525" w:type="dxa"/>
            <w:tcBorders>
              <w:top w:val="single" w:sz="2" w:space="0" w:color="000000"/>
              <w:left w:val="single" w:sz="2" w:space="0" w:color="000000"/>
              <w:bottom w:val="single" w:sz="2" w:space="0" w:color="000000"/>
              <w:right w:val="single" w:sz="2" w:space="0" w:color="000000"/>
            </w:tcBorders>
          </w:tcPr>
          <w:p w14:paraId="10AD6990" w14:textId="77777777" w:rsidR="001771A2" w:rsidRDefault="00D9625D">
            <w:r>
              <w:t>1</w:t>
            </w:r>
          </w:p>
        </w:tc>
        <w:tc>
          <w:tcPr>
            <w:tcW w:w="4961" w:type="dxa"/>
            <w:tcBorders>
              <w:top w:val="single" w:sz="2" w:space="0" w:color="000000"/>
              <w:left w:val="single" w:sz="2" w:space="0" w:color="000000"/>
              <w:bottom w:val="single" w:sz="2" w:space="0" w:color="000000"/>
              <w:right w:val="single" w:sz="2" w:space="0" w:color="000000"/>
            </w:tcBorders>
          </w:tcPr>
          <w:p w14:paraId="67B7746E" w14:textId="77777777" w:rsidR="001771A2" w:rsidRDefault="00D9625D">
            <w:pPr>
              <w:rPr>
                <w:color w:val="000000"/>
                <w:u w:color="000000"/>
              </w:rPr>
            </w:pPr>
            <w:r>
              <w:t>Stosowanie unikatowych nazw, zrozumiałych dla całej organizacji.</w:t>
            </w:r>
          </w:p>
        </w:tc>
        <w:tc>
          <w:tcPr>
            <w:tcW w:w="1582" w:type="dxa"/>
            <w:tcBorders>
              <w:top w:val="single" w:sz="2" w:space="0" w:color="000000"/>
              <w:left w:val="single" w:sz="2" w:space="0" w:color="000000"/>
              <w:bottom w:val="single" w:sz="2" w:space="0" w:color="000000"/>
              <w:right w:val="single" w:sz="2" w:space="0" w:color="000000"/>
            </w:tcBorders>
          </w:tcPr>
          <w:p w14:paraId="03FA85DE" w14:textId="77777777" w:rsidR="001771A2" w:rsidRDefault="00D9625D">
            <w:pPr>
              <w:jc w:val="center"/>
              <w:rPr>
                <w:color w:val="000000"/>
                <w:u w:color="000000"/>
              </w:rPr>
            </w:pPr>
            <w:r>
              <w:t>dotyczy</w:t>
            </w:r>
          </w:p>
        </w:tc>
        <w:tc>
          <w:tcPr>
            <w:tcW w:w="1462" w:type="dxa"/>
            <w:tcBorders>
              <w:top w:val="single" w:sz="2" w:space="0" w:color="000000"/>
              <w:left w:val="single" w:sz="2" w:space="0" w:color="000000"/>
              <w:bottom w:val="single" w:sz="2" w:space="0" w:color="000000"/>
              <w:right w:val="single" w:sz="2" w:space="0" w:color="000000"/>
            </w:tcBorders>
          </w:tcPr>
          <w:p w14:paraId="3CEE4A53" w14:textId="77777777" w:rsidR="001771A2" w:rsidRDefault="00D9625D">
            <w:pPr>
              <w:jc w:val="center"/>
              <w:rPr>
                <w:color w:val="000000"/>
                <w:u w:color="000000"/>
              </w:rPr>
            </w:pPr>
            <w:r>
              <w:t>dotyczy</w:t>
            </w:r>
          </w:p>
        </w:tc>
        <w:tc>
          <w:tcPr>
            <w:tcW w:w="1412" w:type="dxa"/>
            <w:tcBorders>
              <w:top w:val="single" w:sz="2" w:space="0" w:color="000000"/>
              <w:left w:val="single" w:sz="2" w:space="0" w:color="000000"/>
              <w:bottom w:val="single" w:sz="2" w:space="0" w:color="000000"/>
              <w:right w:val="single" w:sz="2" w:space="0" w:color="000000"/>
            </w:tcBorders>
          </w:tcPr>
          <w:p w14:paraId="1CA6203B" w14:textId="77777777" w:rsidR="001771A2" w:rsidRDefault="00D9625D">
            <w:pPr>
              <w:jc w:val="center"/>
              <w:rPr>
                <w:color w:val="000000"/>
                <w:u w:color="000000"/>
              </w:rPr>
            </w:pPr>
            <w:r>
              <w:t>dotyczy</w:t>
            </w:r>
          </w:p>
        </w:tc>
      </w:tr>
      <w:tr w:rsidR="001771A2" w14:paraId="1F881E51" w14:textId="77777777">
        <w:trPr>
          <w:trHeight w:val="570"/>
        </w:trPr>
        <w:tc>
          <w:tcPr>
            <w:tcW w:w="525" w:type="dxa"/>
            <w:tcBorders>
              <w:top w:val="single" w:sz="2" w:space="0" w:color="000000"/>
              <w:left w:val="single" w:sz="2" w:space="0" w:color="000000"/>
              <w:bottom w:val="single" w:sz="2" w:space="0" w:color="000000"/>
              <w:right w:val="single" w:sz="2" w:space="0" w:color="000000"/>
            </w:tcBorders>
          </w:tcPr>
          <w:p w14:paraId="2A1AAC79" w14:textId="77777777" w:rsidR="001771A2" w:rsidRDefault="00D9625D">
            <w:r>
              <w:t>2</w:t>
            </w:r>
          </w:p>
        </w:tc>
        <w:tc>
          <w:tcPr>
            <w:tcW w:w="4961" w:type="dxa"/>
            <w:tcBorders>
              <w:top w:val="single" w:sz="2" w:space="0" w:color="000000"/>
              <w:left w:val="single" w:sz="2" w:space="0" w:color="000000"/>
              <w:bottom w:val="single" w:sz="2" w:space="0" w:color="000000"/>
              <w:right w:val="single" w:sz="2" w:space="0" w:color="000000"/>
            </w:tcBorders>
          </w:tcPr>
          <w:p w14:paraId="5C5757BA" w14:textId="77777777" w:rsidR="001771A2" w:rsidRDefault="00D9625D">
            <w:pPr>
              <w:rPr>
                <w:color w:val="000000"/>
                <w:u w:color="000000"/>
              </w:rPr>
            </w:pPr>
            <w:r>
              <w:t xml:space="preserve">Stosowanie nazw, które dokładnie, </w:t>
            </w:r>
            <w:r>
              <w:t>czytelnie i jednoznacznie identyfikują podmiot tabeli.</w:t>
            </w:r>
          </w:p>
        </w:tc>
        <w:tc>
          <w:tcPr>
            <w:tcW w:w="1582" w:type="dxa"/>
            <w:tcBorders>
              <w:top w:val="single" w:sz="2" w:space="0" w:color="000000"/>
              <w:left w:val="single" w:sz="2" w:space="0" w:color="000000"/>
              <w:bottom w:val="single" w:sz="2" w:space="0" w:color="000000"/>
              <w:right w:val="single" w:sz="2" w:space="0" w:color="000000"/>
            </w:tcBorders>
          </w:tcPr>
          <w:p w14:paraId="1DCD5623" w14:textId="77777777" w:rsidR="001771A2" w:rsidRDefault="00D9625D">
            <w:pPr>
              <w:jc w:val="center"/>
              <w:rPr>
                <w:color w:val="000000"/>
                <w:u w:color="000000"/>
              </w:rPr>
            </w:pPr>
            <w:r>
              <w:t>dotyczy</w:t>
            </w:r>
          </w:p>
        </w:tc>
        <w:tc>
          <w:tcPr>
            <w:tcW w:w="1462" w:type="dxa"/>
            <w:tcBorders>
              <w:top w:val="single" w:sz="2" w:space="0" w:color="000000"/>
              <w:left w:val="single" w:sz="2" w:space="0" w:color="000000"/>
              <w:bottom w:val="single" w:sz="2" w:space="0" w:color="000000"/>
              <w:right w:val="single" w:sz="2" w:space="0" w:color="000000"/>
            </w:tcBorders>
          </w:tcPr>
          <w:p w14:paraId="696E2ED7" w14:textId="77777777" w:rsidR="001771A2" w:rsidRDefault="00D9625D">
            <w:pPr>
              <w:jc w:val="center"/>
              <w:rPr>
                <w:color w:val="000000"/>
                <w:u w:color="000000"/>
              </w:rPr>
            </w:pPr>
            <w:r>
              <w:t>nie dotyczy</w:t>
            </w:r>
          </w:p>
        </w:tc>
        <w:tc>
          <w:tcPr>
            <w:tcW w:w="1412" w:type="dxa"/>
            <w:tcBorders>
              <w:top w:val="single" w:sz="2" w:space="0" w:color="000000"/>
              <w:left w:val="single" w:sz="2" w:space="0" w:color="000000"/>
              <w:bottom w:val="single" w:sz="2" w:space="0" w:color="000000"/>
              <w:right w:val="single" w:sz="2" w:space="0" w:color="000000"/>
            </w:tcBorders>
          </w:tcPr>
          <w:p w14:paraId="4307DBCD" w14:textId="77777777" w:rsidR="001771A2" w:rsidRDefault="00D9625D">
            <w:pPr>
              <w:jc w:val="center"/>
              <w:rPr>
                <w:color w:val="000000"/>
                <w:u w:color="000000"/>
              </w:rPr>
            </w:pPr>
            <w:r>
              <w:t>nie dotyczy</w:t>
            </w:r>
          </w:p>
        </w:tc>
      </w:tr>
      <w:tr w:rsidR="001771A2" w14:paraId="2E8422D4" w14:textId="77777777">
        <w:trPr>
          <w:trHeight w:val="570"/>
        </w:trPr>
        <w:tc>
          <w:tcPr>
            <w:tcW w:w="525" w:type="dxa"/>
            <w:tcBorders>
              <w:top w:val="single" w:sz="2" w:space="0" w:color="000000"/>
              <w:left w:val="single" w:sz="2" w:space="0" w:color="000000"/>
              <w:bottom w:val="single" w:sz="2" w:space="0" w:color="000000"/>
              <w:right w:val="single" w:sz="2" w:space="0" w:color="000000"/>
            </w:tcBorders>
          </w:tcPr>
          <w:p w14:paraId="43FFD0E8" w14:textId="77777777" w:rsidR="001771A2" w:rsidRDefault="00D9625D">
            <w:r>
              <w:t>3</w:t>
            </w:r>
          </w:p>
        </w:tc>
        <w:tc>
          <w:tcPr>
            <w:tcW w:w="4961" w:type="dxa"/>
            <w:tcBorders>
              <w:top w:val="single" w:sz="2" w:space="0" w:color="000000"/>
              <w:left w:val="single" w:sz="2" w:space="0" w:color="000000"/>
              <w:bottom w:val="single" w:sz="2" w:space="0" w:color="000000"/>
              <w:right w:val="single" w:sz="2" w:space="0" w:color="000000"/>
            </w:tcBorders>
          </w:tcPr>
          <w:p w14:paraId="47FE390F" w14:textId="77777777" w:rsidR="001771A2" w:rsidRDefault="00D9625D">
            <w:pPr>
              <w:rPr>
                <w:color w:val="000000"/>
                <w:u w:color="000000"/>
              </w:rPr>
            </w:pPr>
            <w:r>
              <w:t>W przypadku nazw tabel wieloczłonowych, pierwszy rzeczownik określa podmiot danych, kolejne zakres danych.</w:t>
            </w:r>
          </w:p>
        </w:tc>
        <w:tc>
          <w:tcPr>
            <w:tcW w:w="1582" w:type="dxa"/>
            <w:tcBorders>
              <w:top w:val="single" w:sz="2" w:space="0" w:color="000000"/>
              <w:left w:val="single" w:sz="2" w:space="0" w:color="000000"/>
              <w:bottom w:val="single" w:sz="2" w:space="0" w:color="000000"/>
              <w:right w:val="single" w:sz="2" w:space="0" w:color="000000"/>
            </w:tcBorders>
          </w:tcPr>
          <w:p w14:paraId="7EDFDA0C" w14:textId="77777777" w:rsidR="001771A2" w:rsidRDefault="00D9625D">
            <w:pPr>
              <w:jc w:val="center"/>
              <w:rPr>
                <w:color w:val="000000"/>
                <w:u w:color="000000"/>
              </w:rPr>
            </w:pPr>
            <w:r>
              <w:t>dotyczy</w:t>
            </w:r>
          </w:p>
        </w:tc>
        <w:tc>
          <w:tcPr>
            <w:tcW w:w="1462" w:type="dxa"/>
            <w:tcBorders>
              <w:top w:val="single" w:sz="2" w:space="0" w:color="000000"/>
              <w:left w:val="single" w:sz="2" w:space="0" w:color="000000"/>
              <w:bottom w:val="single" w:sz="2" w:space="0" w:color="000000"/>
              <w:right w:val="single" w:sz="2" w:space="0" w:color="000000"/>
            </w:tcBorders>
          </w:tcPr>
          <w:p w14:paraId="6CBD0A40" w14:textId="77777777" w:rsidR="001771A2" w:rsidRDefault="00D9625D">
            <w:pPr>
              <w:jc w:val="center"/>
              <w:rPr>
                <w:color w:val="000000"/>
                <w:u w:color="000000"/>
              </w:rPr>
            </w:pPr>
            <w:r>
              <w:t>nie dotyczy</w:t>
            </w:r>
          </w:p>
        </w:tc>
        <w:tc>
          <w:tcPr>
            <w:tcW w:w="1412" w:type="dxa"/>
            <w:tcBorders>
              <w:top w:val="single" w:sz="2" w:space="0" w:color="000000"/>
              <w:left w:val="single" w:sz="2" w:space="0" w:color="000000"/>
              <w:bottom w:val="single" w:sz="2" w:space="0" w:color="000000"/>
              <w:right w:val="single" w:sz="2" w:space="0" w:color="000000"/>
            </w:tcBorders>
          </w:tcPr>
          <w:p w14:paraId="2B3F17E3" w14:textId="77777777" w:rsidR="001771A2" w:rsidRDefault="00D9625D">
            <w:pPr>
              <w:jc w:val="center"/>
              <w:rPr>
                <w:color w:val="000000"/>
                <w:u w:color="000000"/>
              </w:rPr>
            </w:pPr>
            <w:r>
              <w:t>nie dotyczy</w:t>
            </w:r>
          </w:p>
        </w:tc>
      </w:tr>
      <w:tr w:rsidR="001771A2" w14:paraId="5680D286" w14:textId="77777777">
        <w:trPr>
          <w:trHeight w:val="570"/>
        </w:trPr>
        <w:tc>
          <w:tcPr>
            <w:tcW w:w="525" w:type="dxa"/>
            <w:tcBorders>
              <w:top w:val="single" w:sz="2" w:space="0" w:color="000000"/>
              <w:left w:val="single" w:sz="2" w:space="0" w:color="000000"/>
              <w:bottom w:val="single" w:sz="2" w:space="0" w:color="000000"/>
              <w:right w:val="single" w:sz="2" w:space="0" w:color="000000"/>
            </w:tcBorders>
          </w:tcPr>
          <w:p w14:paraId="1E38DDCF" w14:textId="77777777" w:rsidR="001771A2" w:rsidRDefault="00D9625D">
            <w:r>
              <w:t>4</w:t>
            </w:r>
          </w:p>
        </w:tc>
        <w:tc>
          <w:tcPr>
            <w:tcW w:w="4961" w:type="dxa"/>
            <w:tcBorders>
              <w:top w:val="single" w:sz="2" w:space="0" w:color="000000"/>
              <w:left w:val="single" w:sz="2" w:space="0" w:color="000000"/>
              <w:bottom w:val="single" w:sz="2" w:space="0" w:color="000000"/>
              <w:right w:val="single" w:sz="2" w:space="0" w:color="000000"/>
            </w:tcBorders>
          </w:tcPr>
          <w:p w14:paraId="06A209EC" w14:textId="77777777" w:rsidR="001771A2" w:rsidRDefault="00D9625D">
            <w:pPr>
              <w:rPr>
                <w:color w:val="000000"/>
                <w:u w:color="000000"/>
              </w:rPr>
            </w:pPr>
            <w:r>
              <w:t xml:space="preserve">Stosowanie nazw, </w:t>
            </w:r>
            <w:r>
              <w:t>które dokładnie, czytelnie i jednoznacznie identyfikują cechę, którą reprezentuje pole.</w:t>
            </w:r>
          </w:p>
        </w:tc>
        <w:tc>
          <w:tcPr>
            <w:tcW w:w="1582" w:type="dxa"/>
            <w:tcBorders>
              <w:top w:val="single" w:sz="2" w:space="0" w:color="000000"/>
              <w:left w:val="single" w:sz="2" w:space="0" w:color="000000"/>
              <w:bottom w:val="single" w:sz="2" w:space="0" w:color="000000"/>
              <w:right w:val="single" w:sz="2" w:space="0" w:color="000000"/>
            </w:tcBorders>
          </w:tcPr>
          <w:p w14:paraId="11634D4C" w14:textId="77777777" w:rsidR="001771A2" w:rsidRDefault="00D9625D">
            <w:pPr>
              <w:jc w:val="center"/>
              <w:rPr>
                <w:color w:val="000000"/>
                <w:u w:color="000000"/>
              </w:rPr>
            </w:pPr>
            <w:r>
              <w:t>nie dotyczy</w:t>
            </w:r>
          </w:p>
        </w:tc>
        <w:tc>
          <w:tcPr>
            <w:tcW w:w="1462" w:type="dxa"/>
            <w:tcBorders>
              <w:top w:val="single" w:sz="2" w:space="0" w:color="000000"/>
              <w:left w:val="single" w:sz="2" w:space="0" w:color="000000"/>
              <w:bottom w:val="single" w:sz="2" w:space="0" w:color="000000"/>
              <w:right w:val="single" w:sz="2" w:space="0" w:color="000000"/>
            </w:tcBorders>
          </w:tcPr>
          <w:p w14:paraId="299916AE" w14:textId="77777777" w:rsidR="001771A2" w:rsidRDefault="00D9625D">
            <w:pPr>
              <w:jc w:val="center"/>
              <w:rPr>
                <w:color w:val="000000"/>
                <w:u w:color="000000"/>
              </w:rPr>
            </w:pPr>
            <w:r>
              <w:t>dotyczy</w:t>
            </w:r>
          </w:p>
        </w:tc>
        <w:tc>
          <w:tcPr>
            <w:tcW w:w="1412" w:type="dxa"/>
            <w:tcBorders>
              <w:top w:val="single" w:sz="2" w:space="0" w:color="000000"/>
              <w:left w:val="single" w:sz="2" w:space="0" w:color="000000"/>
              <w:bottom w:val="single" w:sz="2" w:space="0" w:color="000000"/>
              <w:right w:val="single" w:sz="2" w:space="0" w:color="000000"/>
            </w:tcBorders>
          </w:tcPr>
          <w:p w14:paraId="7107E248" w14:textId="77777777" w:rsidR="001771A2" w:rsidRDefault="00D9625D">
            <w:pPr>
              <w:jc w:val="center"/>
              <w:rPr>
                <w:color w:val="000000"/>
                <w:u w:color="000000"/>
              </w:rPr>
            </w:pPr>
            <w:r>
              <w:t>nie dotyczy</w:t>
            </w:r>
          </w:p>
        </w:tc>
      </w:tr>
      <w:tr w:rsidR="001771A2" w14:paraId="26DBB361" w14:textId="77777777">
        <w:trPr>
          <w:trHeight w:val="570"/>
        </w:trPr>
        <w:tc>
          <w:tcPr>
            <w:tcW w:w="525" w:type="dxa"/>
            <w:tcBorders>
              <w:top w:val="single" w:sz="2" w:space="0" w:color="000000"/>
              <w:left w:val="single" w:sz="2" w:space="0" w:color="000000"/>
              <w:bottom w:val="single" w:sz="2" w:space="0" w:color="000000"/>
              <w:right w:val="single" w:sz="2" w:space="0" w:color="000000"/>
            </w:tcBorders>
          </w:tcPr>
          <w:p w14:paraId="27194DF3" w14:textId="77777777" w:rsidR="001771A2" w:rsidRDefault="00D9625D">
            <w:r>
              <w:t>5</w:t>
            </w:r>
          </w:p>
        </w:tc>
        <w:tc>
          <w:tcPr>
            <w:tcW w:w="4961" w:type="dxa"/>
            <w:tcBorders>
              <w:top w:val="single" w:sz="2" w:space="0" w:color="000000"/>
              <w:left w:val="single" w:sz="2" w:space="0" w:color="000000"/>
              <w:bottom w:val="single" w:sz="2" w:space="0" w:color="000000"/>
              <w:right w:val="single" w:sz="2" w:space="0" w:color="000000"/>
            </w:tcBorders>
          </w:tcPr>
          <w:p w14:paraId="10D03301" w14:textId="77777777" w:rsidR="001771A2" w:rsidRDefault="00D9625D">
            <w:pPr>
              <w:rPr>
                <w:color w:val="000000"/>
                <w:u w:color="000000"/>
              </w:rPr>
            </w:pPr>
            <w:r>
              <w:t>Stosowanie minimalnej liczby słów niezbędnych do przekazania znaczenia (maksymalna długość - 35 znaków).</w:t>
            </w:r>
          </w:p>
        </w:tc>
        <w:tc>
          <w:tcPr>
            <w:tcW w:w="1582" w:type="dxa"/>
            <w:tcBorders>
              <w:top w:val="single" w:sz="2" w:space="0" w:color="000000"/>
              <w:left w:val="single" w:sz="2" w:space="0" w:color="000000"/>
              <w:bottom w:val="single" w:sz="2" w:space="0" w:color="000000"/>
              <w:right w:val="single" w:sz="2" w:space="0" w:color="000000"/>
            </w:tcBorders>
          </w:tcPr>
          <w:p w14:paraId="1E416B08" w14:textId="77777777" w:rsidR="001771A2" w:rsidRDefault="00D9625D">
            <w:pPr>
              <w:jc w:val="center"/>
              <w:rPr>
                <w:color w:val="000000"/>
                <w:u w:color="000000"/>
              </w:rPr>
            </w:pPr>
            <w:r>
              <w:t>dotyczy</w:t>
            </w:r>
          </w:p>
        </w:tc>
        <w:tc>
          <w:tcPr>
            <w:tcW w:w="1462" w:type="dxa"/>
            <w:tcBorders>
              <w:top w:val="single" w:sz="2" w:space="0" w:color="000000"/>
              <w:left w:val="single" w:sz="2" w:space="0" w:color="000000"/>
              <w:bottom w:val="single" w:sz="2" w:space="0" w:color="000000"/>
              <w:right w:val="single" w:sz="2" w:space="0" w:color="000000"/>
            </w:tcBorders>
          </w:tcPr>
          <w:p w14:paraId="4EB3D830" w14:textId="77777777" w:rsidR="001771A2" w:rsidRDefault="00D9625D">
            <w:pPr>
              <w:jc w:val="center"/>
              <w:rPr>
                <w:color w:val="000000"/>
                <w:u w:color="000000"/>
              </w:rPr>
            </w:pPr>
            <w:r>
              <w:t>dotyczy</w:t>
            </w:r>
          </w:p>
        </w:tc>
        <w:tc>
          <w:tcPr>
            <w:tcW w:w="1412" w:type="dxa"/>
            <w:tcBorders>
              <w:top w:val="single" w:sz="2" w:space="0" w:color="000000"/>
              <w:left w:val="single" w:sz="2" w:space="0" w:color="000000"/>
              <w:bottom w:val="single" w:sz="2" w:space="0" w:color="000000"/>
              <w:right w:val="single" w:sz="2" w:space="0" w:color="000000"/>
            </w:tcBorders>
          </w:tcPr>
          <w:p w14:paraId="647991D0" w14:textId="77777777" w:rsidR="001771A2" w:rsidRDefault="00D9625D">
            <w:pPr>
              <w:jc w:val="center"/>
              <w:rPr>
                <w:color w:val="000000"/>
                <w:u w:color="000000"/>
              </w:rPr>
            </w:pPr>
            <w:r>
              <w:t>dotyczy</w:t>
            </w:r>
          </w:p>
        </w:tc>
      </w:tr>
      <w:tr w:rsidR="001771A2" w14:paraId="7BCBE64F" w14:textId="77777777">
        <w:trPr>
          <w:trHeight w:val="855"/>
        </w:trPr>
        <w:tc>
          <w:tcPr>
            <w:tcW w:w="525" w:type="dxa"/>
            <w:tcBorders>
              <w:top w:val="single" w:sz="2" w:space="0" w:color="000000"/>
              <w:left w:val="single" w:sz="2" w:space="0" w:color="000000"/>
              <w:bottom w:val="single" w:sz="2" w:space="0" w:color="000000"/>
              <w:right w:val="single" w:sz="2" w:space="0" w:color="000000"/>
            </w:tcBorders>
          </w:tcPr>
          <w:p w14:paraId="557D4968" w14:textId="77777777" w:rsidR="001771A2" w:rsidRDefault="00D9625D">
            <w:r>
              <w:t>6</w:t>
            </w:r>
          </w:p>
        </w:tc>
        <w:tc>
          <w:tcPr>
            <w:tcW w:w="4961" w:type="dxa"/>
            <w:tcBorders>
              <w:top w:val="single" w:sz="2" w:space="0" w:color="000000"/>
              <w:left w:val="single" w:sz="2" w:space="0" w:color="000000"/>
              <w:bottom w:val="single" w:sz="2" w:space="0" w:color="000000"/>
              <w:right w:val="single" w:sz="2" w:space="0" w:color="000000"/>
            </w:tcBorders>
          </w:tcPr>
          <w:p w14:paraId="42760B53" w14:textId="77777777" w:rsidR="001771A2" w:rsidRDefault="00D9625D">
            <w:pPr>
              <w:rPr>
                <w:color w:val="000000"/>
                <w:u w:color="000000"/>
              </w:rPr>
            </w:pPr>
            <w:r>
              <w:t>Niestosowanie akronimów i skrótów. Wyjątek stanowić mogą skróty, które są jednoznacznie interpretowane przez organizację, np. PSP, SOR, UMG.</w:t>
            </w:r>
          </w:p>
        </w:tc>
        <w:tc>
          <w:tcPr>
            <w:tcW w:w="1582" w:type="dxa"/>
            <w:tcBorders>
              <w:top w:val="single" w:sz="2" w:space="0" w:color="000000"/>
              <w:left w:val="single" w:sz="2" w:space="0" w:color="000000"/>
              <w:bottom w:val="single" w:sz="2" w:space="0" w:color="000000"/>
              <w:right w:val="single" w:sz="2" w:space="0" w:color="000000"/>
            </w:tcBorders>
          </w:tcPr>
          <w:p w14:paraId="459D423F" w14:textId="77777777" w:rsidR="001771A2" w:rsidRDefault="00D9625D">
            <w:pPr>
              <w:jc w:val="center"/>
              <w:rPr>
                <w:color w:val="000000"/>
                <w:u w:color="000000"/>
              </w:rPr>
            </w:pPr>
            <w:r>
              <w:t>dotyczy</w:t>
            </w:r>
          </w:p>
        </w:tc>
        <w:tc>
          <w:tcPr>
            <w:tcW w:w="1462" w:type="dxa"/>
            <w:tcBorders>
              <w:top w:val="single" w:sz="2" w:space="0" w:color="000000"/>
              <w:left w:val="single" w:sz="2" w:space="0" w:color="000000"/>
              <w:bottom w:val="single" w:sz="2" w:space="0" w:color="000000"/>
              <w:right w:val="single" w:sz="2" w:space="0" w:color="000000"/>
            </w:tcBorders>
          </w:tcPr>
          <w:p w14:paraId="3D035596" w14:textId="77777777" w:rsidR="001771A2" w:rsidRDefault="00D9625D">
            <w:pPr>
              <w:jc w:val="center"/>
              <w:rPr>
                <w:color w:val="000000"/>
                <w:u w:color="000000"/>
              </w:rPr>
            </w:pPr>
            <w:r>
              <w:t>dotyczy</w:t>
            </w:r>
          </w:p>
        </w:tc>
        <w:tc>
          <w:tcPr>
            <w:tcW w:w="1412" w:type="dxa"/>
            <w:tcBorders>
              <w:top w:val="single" w:sz="2" w:space="0" w:color="000000"/>
              <w:left w:val="single" w:sz="2" w:space="0" w:color="000000"/>
              <w:bottom w:val="single" w:sz="2" w:space="0" w:color="000000"/>
              <w:right w:val="single" w:sz="2" w:space="0" w:color="000000"/>
            </w:tcBorders>
          </w:tcPr>
          <w:p w14:paraId="43F72825" w14:textId="77777777" w:rsidR="001771A2" w:rsidRDefault="00D9625D">
            <w:pPr>
              <w:jc w:val="center"/>
              <w:rPr>
                <w:color w:val="000000"/>
                <w:u w:color="000000"/>
              </w:rPr>
            </w:pPr>
            <w:r>
              <w:t>dotyczy</w:t>
            </w:r>
          </w:p>
        </w:tc>
      </w:tr>
      <w:tr w:rsidR="001771A2" w14:paraId="6A06BD47" w14:textId="77777777">
        <w:trPr>
          <w:trHeight w:val="270"/>
        </w:trPr>
        <w:tc>
          <w:tcPr>
            <w:tcW w:w="525" w:type="dxa"/>
            <w:tcBorders>
              <w:top w:val="single" w:sz="2" w:space="0" w:color="000000"/>
              <w:left w:val="single" w:sz="2" w:space="0" w:color="000000"/>
              <w:bottom w:val="single" w:sz="2" w:space="0" w:color="000000"/>
              <w:right w:val="single" w:sz="2" w:space="0" w:color="000000"/>
            </w:tcBorders>
          </w:tcPr>
          <w:p w14:paraId="584F60DB" w14:textId="77777777" w:rsidR="001771A2" w:rsidRDefault="00D9625D">
            <w:r>
              <w:t>7</w:t>
            </w:r>
          </w:p>
        </w:tc>
        <w:tc>
          <w:tcPr>
            <w:tcW w:w="4961" w:type="dxa"/>
            <w:tcBorders>
              <w:top w:val="single" w:sz="2" w:space="0" w:color="000000"/>
              <w:left w:val="single" w:sz="2" w:space="0" w:color="000000"/>
              <w:bottom w:val="single" w:sz="2" w:space="0" w:color="000000"/>
              <w:right w:val="single" w:sz="2" w:space="0" w:color="000000"/>
            </w:tcBorders>
          </w:tcPr>
          <w:p w14:paraId="78438AA5" w14:textId="77777777" w:rsidR="001771A2" w:rsidRDefault="00D9625D">
            <w:pPr>
              <w:rPr>
                <w:color w:val="000000"/>
                <w:u w:color="000000"/>
              </w:rPr>
            </w:pPr>
            <w:r>
              <w:t>Stosowanie formy rzeczownika w liczbie mnogiej.</w:t>
            </w:r>
          </w:p>
        </w:tc>
        <w:tc>
          <w:tcPr>
            <w:tcW w:w="1582" w:type="dxa"/>
            <w:tcBorders>
              <w:top w:val="single" w:sz="2" w:space="0" w:color="000000"/>
              <w:left w:val="single" w:sz="2" w:space="0" w:color="000000"/>
              <w:bottom w:val="single" w:sz="2" w:space="0" w:color="000000"/>
              <w:right w:val="single" w:sz="2" w:space="0" w:color="000000"/>
            </w:tcBorders>
          </w:tcPr>
          <w:p w14:paraId="522ADB05" w14:textId="77777777" w:rsidR="001771A2" w:rsidRDefault="00D9625D">
            <w:pPr>
              <w:jc w:val="center"/>
              <w:rPr>
                <w:color w:val="000000"/>
                <w:u w:color="000000"/>
              </w:rPr>
            </w:pPr>
            <w:r>
              <w:t>dotyczy</w:t>
            </w:r>
          </w:p>
        </w:tc>
        <w:tc>
          <w:tcPr>
            <w:tcW w:w="1462" w:type="dxa"/>
            <w:tcBorders>
              <w:top w:val="single" w:sz="2" w:space="0" w:color="000000"/>
              <w:left w:val="single" w:sz="2" w:space="0" w:color="000000"/>
              <w:bottom w:val="single" w:sz="2" w:space="0" w:color="000000"/>
              <w:right w:val="single" w:sz="2" w:space="0" w:color="000000"/>
            </w:tcBorders>
          </w:tcPr>
          <w:p w14:paraId="51212B0D" w14:textId="77777777" w:rsidR="001771A2" w:rsidRDefault="00D9625D">
            <w:pPr>
              <w:jc w:val="center"/>
              <w:rPr>
                <w:color w:val="000000"/>
                <w:u w:color="000000"/>
              </w:rPr>
            </w:pPr>
            <w:r>
              <w:t>nie dotyczy</w:t>
            </w:r>
          </w:p>
        </w:tc>
        <w:tc>
          <w:tcPr>
            <w:tcW w:w="1412" w:type="dxa"/>
            <w:tcBorders>
              <w:top w:val="single" w:sz="2" w:space="0" w:color="000000"/>
              <w:left w:val="single" w:sz="2" w:space="0" w:color="000000"/>
              <w:bottom w:val="single" w:sz="2" w:space="0" w:color="000000"/>
              <w:right w:val="single" w:sz="2" w:space="0" w:color="000000"/>
            </w:tcBorders>
          </w:tcPr>
          <w:p w14:paraId="007D8292" w14:textId="77777777" w:rsidR="001771A2" w:rsidRDefault="00D9625D">
            <w:pPr>
              <w:jc w:val="center"/>
              <w:rPr>
                <w:color w:val="000000"/>
                <w:u w:color="000000"/>
              </w:rPr>
            </w:pPr>
            <w:r>
              <w:t xml:space="preserve">nie </w:t>
            </w:r>
            <w:r>
              <w:t>dotyczy</w:t>
            </w:r>
          </w:p>
        </w:tc>
      </w:tr>
      <w:tr w:rsidR="001771A2" w14:paraId="6A588711" w14:textId="77777777">
        <w:trPr>
          <w:trHeight w:val="270"/>
        </w:trPr>
        <w:tc>
          <w:tcPr>
            <w:tcW w:w="525" w:type="dxa"/>
            <w:tcBorders>
              <w:top w:val="single" w:sz="2" w:space="0" w:color="000000"/>
              <w:left w:val="single" w:sz="2" w:space="0" w:color="000000"/>
              <w:bottom w:val="single" w:sz="2" w:space="0" w:color="000000"/>
              <w:right w:val="single" w:sz="2" w:space="0" w:color="000000"/>
            </w:tcBorders>
          </w:tcPr>
          <w:p w14:paraId="1F984D60" w14:textId="77777777" w:rsidR="001771A2" w:rsidRDefault="00D9625D">
            <w:r>
              <w:t>8</w:t>
            </w:r>
          </w:p>
        </w:tc>
        <w:tc>
          <w:tcPr>
            <w:tcW w:w="4961" w:type="dxa"/>
            <w:tcBorders>
              <w:top w:val="single" w:sz="2" w:space="0" w:color="000000"/>
              <w:left w:val="single" w:sz="2" w:space="0" w:color="000000"/>
              <w:bottom w:val="single" w:sz="2" w:space="0" w:color="000000"/>
              <w:right w:val="single" w:sz="2" w:space="0" w:color="000000"/>
            </w:tcBorders>
          </w:tcPr>
          <w:p w14:paraId="30DD0F21" w14:textId="77777777" w:rsidR="001771A2" w:rsidRDefault="00D9625D">
            <w:pPr>
              <w:rPr>
                <w:color w:val="000000"/>
                <w:u w:color="000000"/>
              </w:rPr>
            </w:pPr>
            <w:r>
              <w:t>Stosowanie formy rzeczownika w liczbie pojedynczej.</w:t>
            </w:r>
          </w:p>
        </w:tc>
        <w:tc>
          <w:tcPr>
            <w:tcW w:w="1582" w:type="dxa"/>
            <w:tcBorders>
              <w:top w:val="single" w:sz="2" w:space="0" w:color="000000"/>
              <w:left w:val="single" w:sz="2" w:space="0" w:color="000000"/>
              <w:bottom w:val="single" w:sz="2" w:space="0" w:color="000000"/>
              <w:right w:val="single" w:sz="2" w:space="0" w:color="000000"/>
            </w:tcBorders>
          </w:tcPr>
          <w:p w14:paraId="2B9A21C2" w14:textId="77777777" w:rsidR="001771A2" w:rsidRDefault="00D9625D">
            <w:pPr>
              <w:jc w:val="center"/>
              <w:rPr>
                <w:color w:val="000000"/>
                <w:u w:color="000000"/>
              </w:rPr>
            </w:pPr>
            <w:r>
              <w:t>nie dotyczy</w:t>
            </w:r>
          </w:p>
        </w:tc>
        <w:tc>
          <w:tcPr>
            <w:tcW w:w="1462" w:type="dxa"/>
            <w:tcBorders>
              <w:top w:val="single" w:sz="2" w:space="0" w:color="000000"/>
              <w:left w:val="single" w:sz="2" w:space="0" w:color="000000"/>
              <w:bottom w:val="single" w:sz="2" w:space="0" w:color="000000"/>
              <w:right w:val="single" w:sz="2" w:space="0" w:color="000000"/>
            </w:tcBorders>
          </w:tcPr>
          <w:p w14:paraId="530DCEDD" w14:textId="77777777" w:rsidR="001771A2" w:rsidRDefault="00D9625D">
            <w:pPr>
              <w:jc w:val="center"/>
              <w:rPr>
                <w:color w:val="000000"/>
                <w:u w:color="000000"/>
              </w:rPr>
            </w:pPr>
            <w:r>
              <w:t>dotyczy</w:t>
            </w:r>
          </w:p>
        </w:tc>
        <w:tc>
          <w:tcPr>
            <w:tcW w:w="1412" w:type="dxa"/>
            <w:tcBorders>
              <w:top w:val="single" w:sz="2" w:space="0" w:color="000000"/>
              <w:left w:val="single" w:sz="2" w:space="0" w:color="000000"/>
              <w:bottom w:val="single" w:sz="2" w:space="0" w:color="000000"/>
              <w:right w:val="single" w:sz="2" w:space="0" w:color="000000"/>
            </w:tcBorders>
          </w:tcPr>
          <w:p w14:paraId="53C5E7C0" w14:textId="77777777" w:rsidR="001771A2" w:rsidRDefault="00D9625D">
            <w:pPr>
              <w:jc w:val="center"/>
              <w:rPr>
                <w:color w:val="000000"/>
                <w:u w:color="000000"/>
              </w:rPr>
            </w:pPr>
            <w:r>
              <w:t>dotyczy</w:t>
            </w:r>
          </w:p>
        </w:tc>
      </w:tr>
      <w:tr w:rsidR="001771A2" w14:paraId="18976569" w14:textId="77777777">
        <w:trPr>
          <w:trHeight w:val="1330"/>
        </w:trPr>
        <w:tc>
          <w:tcPr>
            <w:tcW w:w="525" w:type="dxa"/>
            <w:tcBorders>
              <w:top w:val="single" w:sz="2" w:space="0" w:color="000000"/>
              <w:left w:val="single" w:sz="2" w:space="0" w:color="000000"/>
              <w:bottom w:val="single" w:sz="2" w:space="0" w:color="000000"/>
              <w:right w:val="single" w:sz="2" w:space="0" w:color="000000"/>
            </w:tcBorders>
          </w:tcPr>
          <w:p w14:paraId="61427A9B" w14:textId="77777777" w:rsidR="001771A2" w:rsidRDefault="00D9625D">
            <w:r>
              <w:lastRenderedPageBreak/>
              <w:t>9</w:t>
            </w:r>
          </w:p>
        </w:tc>
        <w:tc>
          <w:tcPr>
            <w:tcW w:w="4961" w:type="dxa"/>
            <w:tcBorders>
              <w:top w:val="single" w:sz="2" w:space="0" w:color="000000"/>
              <w:left w:val="single" w:sz="2" w:space="0" w:color="000000"/>
              <w:bottom w:val="single" w:sz="2" w:space="0" w:color="000000"/>
              <w:right w:val="single" w:sz="2" w:space="0" w:color="000000"/>
            </w:tcBorders>
          </w:tcPr>
          <w:p w14:paraId="4E666792" w14:textId="77777777" w:rsidR="001771A2" w:rsidRDefault="00D9625D">
            <w:r>
              <w:t xml:space="preserve">Nazwy pisane wielkimi literami. W przypadku stosowania nazw składających się z więcej niż jednego członu, oddzielenie poszczególnych członów przy pomocy </w:t>
            </w:r>
            <w:r>
              <w:t>znaku podkreślenia '_'.</w:t>
            </w:r>
          </w:p>
          <w:p w14:paraId="49A02F05" w14:textId="77777777" w:rsidR="001771A2" w:rsidRDefault="001771A2">
            <w:pPr>
              <w:rPr>
                <w:color w:val="000000"/>
                <w:u w:color="000000"/>
              </w:rPr>
            </w:pPr>
          </w:p>
        </w:tc>
        <w:tc>
          <w:tcPr>
            <w:tcW w:w="1582" w:type="dxa"/>
            <w:tcBorders>
              <w:top w:val="single" w:sz="2" w:space="0" w:color="000000"/>
              <w:left w:val="single" w:sz="2" w:space="0" w:color="000000"/>
              <w:bottom w:val="single" w:sz="2" w:space="0" w:color="000000"/>
              <w:right w:val="single" w:sz="2" w:space="0" w:color="000000"/>
            </w:tcBorders>
          </w:tcPr>
          <w:p w14:paraId="2138AAA2" w14:textId="77777777" w:rsidR="001771A2" w:rsidRDefault="00D9625D">
            <w:pPr>
              <w:jc w:val="center"/>
              <w:rPr>
                <w:color w:val="000000"/>
                <w:u w:color="000000"/>
              </w:rPr>
            </w:pPr>
            <w:r>
              <w:t>dotyczy</w:t>
            </w:r>
          </w:p>
        </w:tc>
        <w:tc>
          <w:tcPr>
            <w:tcW w:w="1462" w:type="dxa"/>
            <w:tcBorders>
              <w:top w:val="single" w:sz="2" w:space="0" w:color="000000"/>
              <w:left w:val="single" w:sz="2" w:space="0" w:color="000000"/>
              <w:bottom w:val="single" w:sz="2" w:space="0" w:color="000000"/>
              <w:right w:val="single" w:sz="2" w:space="0" w:color="000000"/>
            </w:tcBorders>
          </w:tcPr>
          <w:p w14:paraId="15F6DE33" w14:textId="77777777" w:rsidR="001771A2" w:rsidRDefault="00D9625D">
            <w:pPr>
              <w:jc w:val="center"/>
              <w:rPr>
                <w:color w:val="000000"/>
                <w:u w:color="000000"/>
              </w:rPr>
            </w:pPr>
            <w:r>
              <w:t>dotyczy</w:t>
            </w:r>
          </w:p>
        </w:tc>
        <w:tc>
          <w:tcPr>
            <w:tcW w:w="1412" w:type="dxa"/>
            <w:tcBorders>
              <w:top w:val="single" w:sz="2" w:space="0" w:color="000000"/>
              <w:left w:val="single" w:sz="2" w:space="0" w:color="000000"/>
              <w:bottom w:val="single" w:sz="2" w:space="0" w:color="000000"/>
              <w:right w:val="single" w:sz="2" w:space="0" w:color="000000"/>
            </w:tcBorders>
          </w:tcPr>
          <w:p w14:paraId="3AB6F9BC" w14:textId="77777777" w:rsidR="001771A2" w:rsidRDefault="00D9625D">
            <w:pPr>
              <w:jc w:val="center"/>
              <w:rPr>
                <w:color w:val="000000"/>
                <w:u w:color="000000"/>
              </w:rPr>
            </w:pPr>
            <w:r>
              <w:t>dotyczy</w:t>
            </w:r>
          </w:p>
        </w:tc>
      </w:tr>
      <w:tr w:rsidR="001771A2" w14:paraId="54C8CE4E" w14:textId="77777777">
        <w:trPr>
          <w:trHeight w:val="585"/>
        </w:trPr>
        <w:tc>
          <w:tcPr>
            <w:tcW w:w="525" w:type="dxa"/>
            <w:tcBorders>
              <w:top w:val="single" w:sz="2" w:space="0" w:color="000000"/>
              <w:left w:val="single" w:sz="2" w:space="0" w:color="000000"/>
              <w:bottom w:val="single" w:sz="2" w:space="0" w:color="000000"/>
              <w:right w:val="single" w:sz="2" w:space="0" w:color="000000"/>
            </w:tcBorders>
          </w:tcPr>
          <w:p w14:paraId="031A24E5" w14:textId="77777777" w:rsidR="001771A2" w:rsidRDefault="00D9625D">
            <w:r>
              <w:t>10</w:t>
            </w:r>
          </w:p>
        </w:tc>
        <w:tc>
          <w:tcPr>
            <w:tcW w:w="4961" w:type="dxa"/>
            <w:tcBorders>
              <w:top w:val="single" w:sz="2" w:space="0" w:color="000000"/>
              <w:left w:val="single" w:sz="2" w:space="0" w:color="000000"/>
              <w:bottom w:val="single" w:sz="2" w:space="0" w:color="000000"/>
              <w:right w:val="single" w:sz="2" w:space="0" w:color="000000"/>
            </w:tcBorders>
          </w:tcPr>
          <w:p w14:paraId="1D061E10" w14:textId="77777777" w:rsidR="001771A2" w:rsidRDefault="00D9625D">
            <w:pPr>
              <w:rPr>
                <w:color w:val="000000"/>
                <w:u w:color="000000"/>
              </w:rPr>
            </w:pPr>
            <w:r>
              <w:t>Nazwy bez użycia znaków specjalnych i polskich znaków. Unikanie znaków interpunkcyjnych i cyfr.</w:t>
            </w:r>
          </w:p>
        </w:tc>
        <w:tc>
          <w:tcPr>
            <w:tcW w:w="1582" w:type="dxa"/>
            <w:tcBorders>
              <w:top w:val="single" w:sz="2" w:space="0" w:color="000000"/>
              <w:left w:val="single" w:sz="2" w:space="0" w:color="000000"/>
              <w:bottom w:val="single" w:sz="2" w:space="0" w:color="000000"/>
              <w:right w:val="single" w:sz="2" w:space="0" w:color="000000"/>
            </w:tcBorders>
          </w:tcPr>
          <w:p w14:paraId="0EBC207D" w14:textId="77777777" w:rsidR="001771A2" w:rsidRDefault="00D9625D">
            <w:pPr>
              <w:jc w:val="center"/>
              <w:rPr>
                <w:color w:val="000000"/>
                <w:u w:color="000000"/>
              </w:rPr>
            </w:pPr>
            <w:r>
              <w:t>dotyczy</w:t>
            </w:r>
          </w:p>
        </w:tc>
        <w:tc>
          <w:tcPr>
            <w:tcW w:w="1462" w:type="dxa"/>
            <w:tcBorders>
              <w:top w:val="single" w:sz="2" w:space="0" w:color="000000"/>
              <w:left w:val="single" w:sz="2" w:space="0" w:color="000000"/>
              <w:bottom w:val="single" w:sz="2" w:space="0" w:color="000000"/>
              <w:right w:val="single" w:sz="2" w:space="0" w:color="000000"/>
            </w:tcBorders>
          </w:tcPr>
          <w:p w14:paraId="62370944" w14:textId="77777777" w:rsidR="001771A2" w:rsidRDefault="00D9625D">
            <w:pPr>
              <w:jc w:val="center"/>
              <w:rPr>
                <w:color w:val="000000"/>
                <w:u w:color="000000"/>
              </w:rPr>
            </w:pPr>
            <w:r>
              <w:t>dotyczy</w:t>
            </w:r>
          </w:p>
        </w:tc>
        <w:tc>
          <w:tcPr>
            <w:tcW w:w="1412" w:type="dxa"/>
            <w:tcBorders>
              <w:top w:val="single" w:sz="2" w:space="0" w:color="000000"/>
              <w:left w:val="single" w:sz="2" w:space="0" w:color="000000"/>
              <w:bottom w:val="single" w:sz="2" w:space="0" w:color="000000"/>
              <w:right w:val="single" w:sz="2" w:space="0" w:color="000000"/>
            </w:tcBorders>
          </w:tcPr>
          <w:p w14:paraId="746B55D5" w14:textId="77777777" w:rsidR="001771A2" w:rsidRDefault="00D9625D">
            <w:pPr>
              <w:jc w:val="center"/>
              <w:rPr>
                <w:color w:val="000000"/>
                <w:u w:color="000000"/>
              </w:rPr>
            </w:pPr>
            <w:r>
              <w:t>dotyczy</w:t>
            </w:r>
          </w:p>
        </w:tc>
      </w:tr>
    </w:tbl>
    <w:p w14:paraId="369F5EFA" w14:textId="77777777" w:rsidR="001771A2" w:rsidRDefault="00D9625D">
      <w:pPr>
        <w:keepLines/>
        <w:spacing w:before="120" w:after="120"/>
        <w:ind w:left="227" w:hanging="227"/>
        <w:rPr>
          <w:color w:val="000000"/>
          <w:u w:color="000000"/>
        </w:rPr>
      </w:pPr>
      <w:r>
        <w:t>c</w:t>
      </w:r>
      <w:r>
        <w:t>) </w:t>
      </w:r>
      <w:r>
        <w:rPr>
          <w:color w:val="000000"/>
          <w:u w:color="000000"/>
        </w:rPr>
        <w:t>w</w:t>
      </w:r>
      <w:r>
        <w:rPr>
          <w:color w:val="000000"/>
          <w:u w:color="000000"/>
        </w:rPr>
        <w:t xml:space="preserve">artości atrybutowych nie należy (z wyłączeniem uzasadnionej </w:t>
      </w:r>
      <w:r>
        <w:rPr>
          <w:color w:val="000000"/>
          <w:u w:color="000000"/>
        </w:rPr>
        <w:t>konieczności) przedstawiać jako połączenie danych liczbowych z danymi tekstowymi bądź znakami specjalnymi. Należy zorganizować atrybuty w taki sposób, aby dane o konkretnym rodzaju (liczbowe lub tekstowe) były wartościami oddzielnych atrybutów</w:t>
      </w:r>
      <w:r>
        <w:rPr>
          <w:color w:val="000000"/>
          <w:u w:color="000000"/>
        </w:rPr>
        <w:t>.</w:t>
      </w:r>
    </w:p>
    <w:p w14:paraId="1B0B7217" w14:textId="77777777" w:rsidR="001771A2" w:rsidRDefault="00D9625D">
      <w:pPr>
        <w:keepLines/>
        <w:spacing w:before="120" w:after="120"/>
        <w:ind w:firstLine="340"/>
        <w:rPr>
          <w:color w:val="000000"/>
          <w:u w:color="000000"/>
        </w:rPr>
      </w:pPr>
      <w:r>
        <w:t>3. </w:t>
      </w:r>
      <w:r>
        <w:rPr>
          <w:color w:val="000000"/>
          <w:u w:color="000000"/>
        </w:rPr>
        <w:t>Standardy, o których mowa w ust. 1 i 2, zwane łącznie "Standardami", stosowane będę w stosunku do drzew i innych form zieleni znajdujących się na:</w:t>
      </w:r>
    </w:p>
    <w:p w14:paraId="2124AAF5" w14:textId="77777777" w:rsidR="001771A2" w:rsidRDefault="00D9625D">
      <w:pPr>
        <w:keepLines/>
        <w:spacing w:before="120" w:after="120"/>
        <w:ind w:left="340" w:hanging="227"/>
        <w:rPr>
          <w:color w:val="000000"/>
          <w:u w:color="000000"/>
        </w:rPr>
      </w:pPr>
      <w:r>
        <w:t>1) </w:t>
      </w:r>
      <w:r>
        <w:rPr>
          <w:color w:val="000000"/>
          <w:u w:color="000000"/>
        </w:rPr>
        <w:t>nieruchomościach gruntowych, stanowiących przedmiot własności Gminy Miasta Gdańska (z wyjątkiem nieruchomości gruntowych oddanych w użytkowanie wieczyste);</w:t>
      </w:r>
    </w:p>
    <w:p w14:paraId="16BF413D" w14:textId="77777777" w:rsidR="001771A2" w:rsidRDefault="00D9625D">
      <w:pPr>
        <w:keepLines/>
        <w:spacing w:before="120" w:after="120"/>
        <w:ind w:left="340" w:hanging="227"/>
        <w:rPr>
          <w:color w:val="000000"/>
          <w:u w:color="000000"/>
        </w:rPr>
      </w:pPr>
      <w:r>
        <w:t>2) </w:t>
      </w:r>
      <w:r>
        <w:rPr>
          <w:color w:val="000000"/>
          <w:u w:color="000000"/>
        </w:rPr>
        <w:t>nieruchomościach gruntowych, stanowiących przedmiot własności Skarbu Państwa (z wyjątkiem nieruchomości gruntowych oddanych w użytkowanie wieczyste)</w:t>
      </w:r>
      <w:r>
        <w:rPr>
          <w:color w:val="000000"/>
          <w:u w:color="000000"/>
        </w:rPr>
        <w:t>:</w:t>
      </w:r>
    </w:p>
    <w:p w14:paraId="42367888" w14:textId="77777777" w:rsidR="001771A2" w:rsidRDefault="00D9625D">
      <w:pPr>
        <w:keepLines/>
        <w:spacing w:before="120" w:after="120"/>
        <w:ind w:left="567" w:hanging="227"/>
        <w:rPr>
          <w:color w:val="000000"/>
          <w:u w:color="000000"/>
        </w:rPr>
      </w:pPr>
      <w:r>
        <w:t>a) </w:t>
      </w:r>
      <w:r>
        <w:rPr>
          <w:color w:val="000000"/>
          <w:u w:color="000000"/>
        </w:rPr>
        <w:t>którymi Prezydent Miasta Gdańska gospodaruje jako starosta wykonujący zadania z zakresu administracji rządowej,</w:t>
      </w:r>
    </w:p>
    <w:p w14:paraId="3EBADC2A" w14:textId="77777777" w:rsidR="001771A2" w:rsidRDefault="00D9625D">
      <w:pPr>
        <w:keepLines/>
        <w:spacing w:before="120" w:after="120"/>
        <w:ind w:left="567" w:hanging="227"/>
        <w:rPr>
          <w:color w:val="000000"/>
          <w:u w:color="000000"/>
        </w:rPr>
      </w:pPr>
      <w:r>
        <w:t>b) </w:t>
      </w:r>
      <w:r>
        <w:rPr>
          <w:color w:val="000000"/>
          <w:u w:color="000000"/>
        </w:rPr>
        <w:t>znajdujących się w pasach drogowych dróg publicznych, w stosunku do których Prezydent Miasta Gdańska jest zarządcą.</w:t>
      </w:r>
    </w:p>
    <w:p w14:paraId="219CFA2C" w14:textId="77777777" w:rsidR="001771A2" w:rsidRDefault="00D9625D">
      <w:pPr>
        <w:keepLines/>
        <w:spacing w:before="120" w:after="120"/>
        <w:ind w:firstLine="340"/>
        <w:rPr>
          <w:color w:val="000000"/>
          <w:u w:color="000000"/>
        </w:rPr>
      </w:pPr>
      <w:r>
        <w:t>4. </w:t>
      </w:r>
      <w:r>
        <w:rPr>
          <w:color w:val="000000"/>
          <w:u w:color="000000"/>
        </w:rPr>
        <w:t>Standardy nie mają zastosowania w stosunku do drzew i innych form zieleni znajdujących się na gruntach położonych na terenie lasów komunalnych i cmentarzy komunalnych.</w:t>
      </w:r>
    </w:p>
    <w:p w14:paraId="1E362554" w14:textId="77777777" w:rsidR="001771A2" w:rsidRDefault="00D9625D">
      <w:pPr>
        <w:keepLines/>
        <w:spacing w:before="120" w:after="120"/>
        <w:ind w:firstLine="340"/>
        <w:rPr>
          <w:color w:val="000000"/>
          <w:u w:color="000000"/>
        </w:rPr>
      </w:pPr>
      <w:r>
        <w:t>5. </w:t>
      </w:r>
      <w:r>
        <w:rPr>
          <w:color w:val="000000"/>
          <w:u w:color="000000"/>
        </w:rPr>
        <w:t>Standardy nie mają zastosowania w przypadku nagłych sytuacji awaryjnych, w których priorytetem jest przywrócenie sprawnego funkcjonowania infrastruktury miejskiej.</w:t>
      </w:r>
    </w:p>
    <w:p w14:paraId="1E42DBF6" w14:textId="77777777" w:rsidR="001771A2" w:rsidRDefault="00D9625D">
      <w:pPr>
        <w:keepLines/>
        <w:spacing w:before="120" w:after="120"/>
        <w:ind w:firstLine="340"/>
        <w:rPr>
          <w:color w:val="000000"/>
          <w:u w:color="000000"/>
        </w:rPr>
      </w:pPr>
      <w:r>
        <w:rPr>
          <w:b/>
        </w:rPr>
        <w:t>§ 2. </w:t>
      </w:r>
      <w:r>
        <w:rPr>
          <w:color w:val="000000"/>
          <w:u w:color="000000"/>
        </w:rPr>
        <w:t>Zobowiązuje się Dyrektora Gdańskiego Zarządu Dróg i Zieleni we współpracy z Wydziałem Ekologii i Energetyki Urzędu Miejskiego w Gdańsku oraz jednostk</w:t>
      </w:r>
      <w:r>
        <w:rPr>
          <w:color w:val="000000"/>
          <w:u w:color="000000"/>
        </w:rPr>
        <w:t>ami</w:t>
      </w:r>
      <w:r>
        <w:rPr>
          <w:color w:val="000000"/>
          <w:u w:color="000000"/>
        </w:rPr>
        <w:t xml:space="preserve"> organizacyjn</w:t>
      </w:r>
      <w:r>
        <w:rPr>
          <w:color w:val="000000"/>
          <w:u w:color="000000"/>
        </w:rPr>
        <w:t>ymi</w:t>
      </w:r>
      <w:r>
        <w:rPr>
          <w:color w:val="000000"/>
          <w:u w:color="000000"/>
        </w:rPr>
        <w:t xml:space="preserve"> Gminy Miasta Gdańska</w:t>
      </w:r>
      <w:r>
        <w:rPr>
          <w:color w:val="000000"/>
          <w:u w:color="000000"/>
        </w:rPr>
        <w:t>:</w:t>
      </w:r>
      <w:r>
        <w:rPr>
          <w:color w:val="000000"/>
          <w:u w:color="000000"/>
        </w:rPr>
        <w:t xml:space="preserve"> </w:t>
      </w:r>
    </w:p>
    <w:p w14:paraId="05FD3B0C" w14:textId="77777777" w:rsidR="001771A2" w:rsidRDefault="00D9625D">
      <w:pPr>
        <w:keepLines/>
        <w:spacing w:before="120" w:after="120"/>
        <w:ind w:left="340" w:hanging="227"/>
        <w:rPr>
          <w:color w:val="000000"/>
          <w:u w:color="000000"/>
        </w:rPr>
      </w:pPr>
      <w:r>
        <w:t>1) </w:t>
      </w:r>
      <w:r>
        <w:rPr>
          <w:color w:val="000000"/>
          <w:u w:color="000000"/>
        </w:rPr>
        <w:t>Dyrekcja Rozbudowy Miasta Gdańska;</w:t>
      </w:r>
    </w:p>
    <w:p w14:paraId="5ECEE432" w14:textId="77777777" w:rsidR="001771A2" w:rsidRDefault="00D9625D">
      <w:pPr>
        <w:keepLines/>
        <w:spacing w:before="120" w:after="120"/>
        <w:ind w:left="340" w:hanging="227"/>
        <w:rPr>
          <w:color w:val="000000"/>
          <w:u w:color="000000"/>
        </w:rPr>
      </w:pPr>
      <w:r>
        <w:t>2) </w:t>
      </w:r>
      <w:r>
        <w:rPr>
          <w:color w:val="000000"/>
          <w:u w:color="000000"/>
        </w:rPr>
        <w:t>Gdański Ogród Zoologiczny;</w:t>
      </w:r>
    </w:p>
    <w:p w14:paraId="42152BC7" w14:textId="77777777" w:rsidR="001771A2" w:rsidRDefault="00D9625D">
      <w:pPr>
        <w:keepLines/>
        <w:spacing w:before="120" w:after="120"/>
        <w:ind w:left="340" w:hanging="227"/>
        <w:rPr>
          <w:color w:val="000000"/>
          <w:u w:color="000000"/>
        </w:rPr>
      </w:pPr>
      <w:r>
        <w:t>3) </w:t>
      </w:r>
      <w:r>
        <w:rPr>
          <w:color w:val="000000"/>
          <w:u w:color="000000"/>
        </w:rPr>
        <w:t>Gdański Ośrodek Sportu;</w:t>
      </w:r>
    </w:p>
    <w:p w14:paraId="413D546C" w14:textId="77777777" w:rsidR="001771A2" w:rsidRDefault="00D9625D">
      <w:pPr>
        <w:keepLines/>
        <w:spacing w:before="120" w:after="120"/>
        <w:ind w:left="340" w:hanging="227"/>
        <w:rPr>
          <w:color w:val="000000"/>
          <w:u w:color="000000"/>
        </w:rPr>
      </w:pPr>
      <w:r>
        <w:t>4) </w:t>
      </w:r>
      <w:r>
        <w:rPr>
          <w:color w:val="000000"/>
          <w:u w:color="000000"/>
        </w:rPr>
        <w:t>Gdański Zarząd Dróg i Zieleni;</w:t>
      </w:r>
    </w:p>
    <w:p w14:paraId="68DC98FC" w14:textId="77777777" w:rsidR="001771A2" w:rsidRDefault="00D9625D">
      <w:pPr>
        <w:keepLines/>
        <w:spacing w:before="120" w:after="120"/>
        <w:ind w:left="340" w:hanging="227"/>
        <w:rPr>
          <w:color w:val="000000"/>
          <w:u w:color="000000"/>
        </w:rPr>
      </w:pPr>
      <w:r>
        <w:t>5) </w:t>
      </w:r>
      <w:r>
        <w:rPr>
          <w:color w:val="000000"/>
          <w:u w:color="000000"/>
        </w:rPr>
        <w:t>Gdańskie Nieruchomości Samorządowy Zakład Budżetowy;</w:t>
      </w:r>
    </w:p>
    <w:p w14:paraId="71E5EF02" w14:textId="77777777" w:rsidR="001771A2" w:rsidRDefault="00D9625D">
      <w:pPr>
        <w:keepLines/>
        <w:spacing w:before="120" w:after="120"/>
        <w:ind w:left="340" w:hanging="227"/>
        <w:rPr>
          <w:color w:val="000000"/>
          <w:u w:color="000000"/>
        </w:rPr>
      </w:pPr>
      <w:r>
        <w:t>6) </w:t>
      </w:r>
      <w:proofErr w:type="spellStart"/>
      <w:r>
        <w:rPr>
          <w:color w:val="000000"/>
          <w:u w:color="000000"/>
        </w:rPr>
        <w:t>Hevelianum</w:t>
      </w:r>
      <w:proofErr w:type="spellEnd"/>
      <w:r>
        <w:rPr>
          <w:color w:val="000000"/>
          <w:u w:color="000000"/>
        </w:rPr>
        <w:t>;</w:t>
      </w:r>
    </w:p>
    <w:p w14:paraId="1D0F1C69" w14:textId="77777777" w:rsidR="001771A2" w:rsidRDefault="00D9625D">
      <w:pPr>
        <w:keepLines/>
        <w:spacing w:before="120" w:after="120"/>
        <w:ind w:left="340" w:hanging="227"/>
        <w:rPr>
          <w:color w:val="000000"/>
          <w:u w:color="000000"/>
        </w:rPr>
      </w:pPr>
      <w:r>
        <w:t>7) </w:t>
      </w:r>
      <w:r>
        <w:rPr>
          <w:color w:val="000000"/>
          <w:u w:color="000000"/>
        </w:rPr>
        <w:t>Arena Gdańsk sp. z o. o.;</w:t>
      </w:r>
    </w:p>
    <w:p w14:paraId="67C1A536" w14:textId="77777777" w:rsidR="001771A2" w:rsidRDefault="00D9625D">
      <w:pPr>
        <w:keepLines/>
        <w:spacing w:before="120" w:after="120"/>
        <w:ind w:left="340" w:hanging="227"/>
        <w:rPr>
          <w:color w:val="000000"/>
          <w:u w:color="000000"/>
        </w:rPr>
      </w:pPr>
      <w:r>
        <w:t>8) </w:t>
      </w:r>
      <w:r>
        <w:rPr>
          <w:color w:val="000000"/>
          <w:u w:color="000000"/>
        </w:rPr>
        <w:t>Gdańska Agencja Rozwoju Gospodarczego sp. z o. o.;</w:t>
      </w:r>
    </w:p>
    <w:p w14:paraId="0AEBE3E2" w14:textId="77777777" w:rsidR="001771A2" w:rsidRDefault="00D9625D">
      <w:pPr>
        <w:keepLines/>
        <w:spacing w:before="120" w:after="120"/>
        <w:ind w:left="340" w:hanging="227"/>
        <w:rPr>
          <w:color w:val="000000"/>
          <w:u w:color="000000"/>
        </w:rPr>
      </w:pPr>
      <w:r>
        <w:t>9) </w:t>
      </w:r>
      <w:r>
        <w:rPr>
          <w:color w:val="000000"/>
          <w:u w:color="000000"/>
        </w:rPr>
        <w:t>Gdańska Infrastruktura Społeczna sp. z o. o.;</w:t>
      </w:r>
    </w:p>
    <w:p w14:paraId="169211B9" w14:textId="77777777" w:rsidR="001771A2" w:rsidRDefault="00D9625D">
      <w:pPr>
        <w:keepLines/>
        <w:spacing w:before="120" w:after="120"/>
        <w:ind w:left="340" w:hanging="227"/>
        <w:rPr>
          <w:color w:val="000000"/>
          <w:u w:color="000000"/>
        </w:rPr>
      </w:pPr>
      <w:r>
        <w:t>10) </w:t>
      </w:r>
      <w:r>
        <w:rPr>
          <w:color w:val="000000"/>
          <w:u w:color="000000"/>
        </w:rPr>
        <w:t>Gdańska Infrastruktura Wodociągowo-Kanalizacyjna sp. z o. o.;</w:t>
      </w:r>
    </w:p>
    <w:p w14:paraId="7CBE97A8" w14:textId="77777777" w:rsidR="001771A2" w:rsidRDefault="00D9625D">
      <w:pPr>
        <w:keepLines/>
        <w:spacing w:before="120" w:after="120"/>
        <w:ind w:left="340" w:hanging="227"/>
        <w:rPr>
          <w:color w:val="000000"/>
          <w:u w:color="000000"/>
        </w:rPr>
      </w:pPr>
      <w:r>
        <w:t>11) </w:t>
      </w:r>
      <w:r>
        <w:rPr>
          <w:color w:val="000000"/>
          <w:u w:color="000000"/>
        </w:rPr>
        <w:t>Gdańskie Autobusy i Tramwaje sp. z o. o.;</w:t>
      </w:r>
    </w:p>
    <w:p w14:paraId="36CD03BD" w14:textId="77777777" w:rsidR="001771A2" w:rsidRDefault="00D9625D">
      <w:pPr>
        <w:keepLines/>
        <w:spacing w:before="120" w:after="120"/>
        <w:ind w:left="340" w:hanging="227"/>
        <w:rPr>
          <w:color w:val="000000"/>
          <w:u w:color="000000"/>
        </w:rPr>
      </w:pPr>
      <w:r>
        <w:t>12) </w:t>
      </w:r>
      <w:r>
        <w:rPr>
          <w:color w:val="000000"/>
          <w:u w:color="000000"/>
        </w:rPr>
        <w:t>Gdańskie Towarzystwo Budownictwa Społecznego sp. z o. o.;</w:t>
      </w:r>
    </w:p>
    <w:p w14:paraId="72153F4D" w14:textId="77777777" w:rsidR="001771A2" w:rsidRDefault="00D9625D">
      <w:pPr>
        <w:keepLines/>
        <w:spacing w:before="120" w:after="120"/>
        <w:ind w:left="340" w:hanging="227"/>
        <w:rPr>
          <w:color w:val="000000"/>
          <w:u w:color="000000"/>
        </w:rPr>
      </w:pPr>
      <w:r>
        <w:t>13) </w:t>
      </w:r>
      <w:r>
        <w:rPr>
          <w:color w:val="000000"/>
          <w:u w:color="000000"/>
        </w:rPr>
        <w:t>Gdańskie Usługi Komunalne sp. z o. o.;</w:t>
      </w:r>
    </w:p>
    <w:p w14:paraId="342A5E6A" w14:textId="77777777" w:rsidR="001771A2" w:rsidRDefault="00D9625D">
      <w:pPr>
        <w:keepLines/>
        <w:spacing w:before="120" w:after="120"/>
        <w:ind w:left="340" w:hanging="227"/>
        <w:rPr>
          <w:color w:val="000000"/>
          <w:u w:color="000000"/>
        </w:rPr>
      </w:pPr>
      <w:r>
        <w:t>14) </w:t>
      </w:r>
      <w:r>
        <w:rPr>
          <w:color w:val="000000"/>
          <w:u w:color="000000"/>
        </w:rPr>
        <w:t>Gdańskie Wodociągi S.A.;</w:t>
      </w:r>
    </w:p>
    <w:p w14:paraId="5874E2A5" w14:textId="77777777" w:rsidR="001771A2" w:rsidRDefault="00D9625D">
      <w:pPr>
        <w:keepLines/>
        <w:spacing w:before="120" w:after="120"/>
        <w:ind w:left="340" w:hanging="227"/>
        <w:rPr>
          <w:color w:val="000000"/>
          <w:u w:color="000000"/>
        </w:rPr>
      </w:pPr>
      <w:r>
        <w:t>15) </w:t>
      </w:r>
      <w:r>
        <w:rPr>
          <w:color w:val="000000"/>
          <w:u w:color="000000"/>
        </w:rPr>
        <w:t>Gdańskie Wody sp. z o. o.;</w:t>
      </w:r>
    </w:p>
    <w:p w14:paraId="1727C17D" w14:textId="77777777" w:rsidR="001771A2" w:rsidRDefault="00D9625D">
      <w:pPr>
        <w:keepLines/>
        <w:spacing w:before="120" w:after="120"/>
        <w:ind w:left="340" w:hanging="227"/>
        <w:rPr>
          <w:color w:val="000000"/>
          <w:u w:color="000000"/>
        </w:rPr>
      </w:pPr>
      <w:r>
        <w:t>16) </w:t>
      </w:r>
      <w:r>
        <w:rPr>
          <w:color w:val="000000"/>
          <w:u w:color="000000"/>
        </w:rPr>
        <w:t>Port Czystej Energii sp. z o.o.;</w:t>
      </w:r>
    </w:p>
    <w:p w14:paraId="6B36A150" w14:textId="77777777" w:rsidR="001771A2" w:rsidRDefault="00D9625D">
      <w:pPr>
        <w:keepLines/>
        <w:spacing w:before="120" w:after="120"/>
        <w:ind w:left="340" w:hanging="227"/>
        <w:rPr>
          <w:color w:val="000000"/>
          <w:u w:color="000000"/>
        </w:rPr>
      </w:pPr>
      <w:r>
        <w:t>17) </w:t>
      </w:r>
      <w:r>
        <w:t>T</w:t>
      </w:r>
      <w:r>
        <w:rPr>
          <w:color w:val="000000"/>
          <w:u w:color="000000"/>
        </w:rPr>
        <w:t>owarzystwo Budownictwa Społecznego „Motława” sp. z o. o.;</w:t>
      </w:r>
    </w:p>
    <w:p w14:paraId="29D77027" w14:textId="77777777" w:rsidR="001771A2" w:rsidRDefault="00D9625D">
      <w:pPr>
        <w:keepLines/>
        <w:spacing w:before="120" w:after="120"/>
        <w:ind w:left="340" w:hanging="227"/>
        <w:rPr>
          <w:color w:val="000000"/>
          <w:u w:color="000000"/>
        </w:rPr>
      </w:pPr>
      <w:r>
        <w:lastRenderedPageBreak/>
        <w:t>18) </w:t>
      </w:r>
      <w:r>
        <w:rPr>
          <w:color w:val="000000"/>
          <w:u w:color="000000"/>
        </w:rPr>
        <w:t>Zakład Utylizacyjny sp. z o. o.</w:t>
      </w:r>
    </w:p>
    <w:tbl>
      <w:tblPr>
        <w:tblStyle w:val="Tabela-Prosty1"/>
        <w:tblW w:w="5000" w:type="pct"/>
        <w:tblBorders>
          <w:top w:val="nil"/>
          <w:left w:val="nil"/>
          <w:bottom w:val="nil"/>
          <w:right w:val="nil"/>
          <w:insideH w:val="nil"/>
          <w:insideV w:val="nil"/>
        </w:tblBorders>
        <w:tblLook w:val="04A0" w:firstRow="1" w:lastRow="0" w:firstColumn="1" w:lastColumn="0" w:noHBand="0" w:noVBand="1"/>
      </w:tblPr>
      <w:tblGrid>
        <w:gridCol w:w="9866"/>
      </w:tblGrid>
      <w:tr w:rsidR="001771A2" w14:paraId="2AE1E907" w14:textId="77777777">
        <w:tc>
          <w:tcPr>
            <w:tcW w:w="5000" w:type="pct"/>
            <w:tcBorders>
              <w:top w:val="nil"/>
              <w:left w:val="nil"/>
              <w:bottom w:val="nil"/>
              <w:right w:val="nil"/>
            </w:tcBorders>
          </w:tcPr>
          <w:p w14:paraId="48F645D5" w14:textId="77777777" w:rsidR="001771A2" w:rsidRDefault="00D9625D">
            <w:pPr>
              <w:keepLines/>
              <w:spacing w:before="120" w:after="120"/>
              <w:rPr>
                <w:color w:val="000000"/>
                <w:u w:color="000000"/>
              </w:rPr>
            </w:pPr>
            <w:r>
              <w:rPr>
                <w:color w:val="000000"/>
                <w:u w:color="000000"/>
              </w:rPr>
              <w:t xml:space="preserve">do ewaluacji zapisów zarządzenia w terminie 24 miesięcy od </w:t>
            </w:r>
            <w:r>
              <w:rPr>
                <w:color w:val="000000"/>
                <w:u w:color="000000"/>
              </w:rPr>
              <w:t>dnia wejścia w życie.</w:t>
            </w:r>
          </w:p>
        </w:tc>
      </w:tr>
    </w:tbl>
    <w:p w14:paraId="37B5738E" w14:textId="77777777" w:rsidR="001771A2" w:rsidRDefault="001771A2">
      <w:pPr>
        <w:keepLines/>
        <w:spacing w:before="120" w:after="120"/>
        <w:ind w:firstLine="340"/>
        <w:rPr>
          <w:color w:val="000000"/>
          <w:u w:color="000000"/>
        </w:rPr>
      </w:pPr>
    </w:p>
    <w:p w14:paraId="471EE966" w14:textId="77777777" w:rsidR="001771A2" w:rsidRDefault="00D9625D">
      <w:pPr>
        <w:keepNext/>
        <w:keepLines/>
        <w:spacing w:line="360" w:lineRule="auto"/>
        <w:jc w:val="center"/>
        <w:rPr>
          <w:color w:val="000000"/>
          <w:u w:color="000000"/>
        </w:rPr>
      </w:pPr>
      <w:r>
        <w:rPr>
          <w:b/>
        </w:rPr>
        <w:t>Rozdział 3.</w:t>
      </w:r>
      <w:r>
        <w:rPr>
          <w:color w:val="000000"/>
          <w:u w:color="000000"/>
        </w:rPr>
        <w:br/>
      </w:r>
      <w:r>
        <w:rPr>
          <w:b/>
          <w:color w:val="000000"/>
          <w:u w:color="000000"/>
        </w:rPr>
        <w:t>Definicje</w:t>
      </w:r>
    </w:p>
    <w:p w14:paraId="07ECCD98" w14:textId="77777777" w:rsidR="001771A2" w:rsidRDefault="00D9625D">
      <w:pPr>
        <w:keepLines/>
        <w:spacing w:before="120" w:after="120"/>
        <w:ind w:firstLine="340"/>
        <w:rPr>
          <w:color w:val="000000"/>
          <w:u w:color="000000"/>
        </w:rPr>
      </w:pPr>
      <w:r>
        <w:rPr>
          <w:b/>
        </w:rPr>
        <w:t>§ 3. </w:t>
      </w:r>
      <w:r>
        <w:rPr>
          <w:color w:val="000000"/>
          <w:u w:color="000000"/>
        </w:rPr>
        <w:t>Użyte w zarządzeniu określenia oznaczają:</w:t>
      </w:r>
    </w:p>
    <w:p w14:paraId="2297E409" w14:textId="77777777" w:rsidR="001771A2" w:rsidRDefault="00D9625D">
      <w:pPr>
        <w:keepLines/>
        <w:spacing w:before="120" w:after="120"/>
        <w:ind w:left="340" w:hanging="227"/>
        <w:rPr>
          <w:color w:val="000000"/>
          <w:u w:color="000000"/>
        </w:rPr>
      </w:pPr>
      <w:r>
        <w:t>1) </w:t>
      </w:r>
      <w:r>
        <w:rPr>
          <w:color w:val="000000"/>
          <w:u w:color="000000"/>
        </w:rPr>
        <w:t>proces inwestycyjny - przedsięwzięcie polegające na budowie nowych obiektów i działania wobec istniejących (tj. przebudowy, rozbudowy, remontu lub rozbiórki), realizowane w odniesieniu do obiektów budowlanych lub terenów zieleni;</w:t>
      </w:r>
    </w:p>
    <w:p w14:paraId="3814005E" w14:textId="77777777" w:rsidR="001771A2" w:rsidRDefault="00D9625D">
      <w:pPr>
        <w:keepLines/>
        <w:spacing w:before="120" w:after="120"/>
        <w:ind w:left="340" w:hanging="227"/>
        <w:rPr>
          <w:color w:val="000000"/>
          <w:u w:color="000000"/>
        </w:rPr>
      </w:pPr>
      <w:r>
        <w:t>2) </w:t>
      </w:r>
      <w:r>
        <w:rPr>
          <w:color w:val="000000"/>
          <w:u w:color="000000"/>
        </w:rPr>
        <w:t>strefa ochrony drzewa (SOD) - obszar wokół drzewa, w obrębie którego ochronie podlega całe drzewo (system korzeniowy, pień i korona) oraz jego siedlisko, obejmujące strefę rzutu korony powiększoną o 1,5 m (w szczególnych przypadkach opisanych w Standardzie ochrony drzew i innych form zieleni w procesie inwestycyjnym strefa ta może być określana w inny sposób);</w:t>
      </w:r>
    </w:p>
    <w:p w14:paraId="725EDA7B" w14:textId="77777777" w:rsidR="001771A2" w:rsidRDefault="00D9625D">
      <w:pPr>
        <w:keepLines/>
        <w:spacing w:before="120" w:after="120"/>
        <w:ind w:left="340" w:hanging="227"/>
        <w:rPr>
          <w:color w:val="000000"/>
          <w:u w:color="000000"/>
        </w:rPr>
      </w:pPr>
      <w:r>
        <w:t>3) </w:t>
      </w:r>
      <w:r>
        <w:rPr>
          <w:color w:val="000000"/>
          <w:u w:color="000000"/>
        </w:rPr>
        <w:t>drzewo sędziwe - drzewo, które osiągnęło wyjątkowy wiek jako reprezentant swojego gatunku, często charakteryzujące się wyjątkową grubością pnia; w przypadku gatunków długowiecznych  faza ta może być najdłuższą fazą życia drzewa. W tej fazie drzewo wykazuje szereg cech przystosowawczych, takich jak:</w:t>
      </w:r>
    </w:p>
    <w:p w14:paraId="3BF093B3" w14:textId="77777777" w:rsidR="001771A2" w:rsidRDefault="00D9625D">
      <w:pPr>
        <w:keepLines/>
        <w:spacing w:before="120" w:after="120"/>
        <w:ind w:left="567" w:hanging="227"/>
        <w:rPr>
          <w:color w:val="000000"/>
          <w:u w:color="000000"/>
        </w:rPr>
      </w:pPr>
      <w:r>
        <w:t>a) </w:t>
      </w:r>
      <w:r>
        <w:rPr>
          <w:color w:val="000000"/>
          <w:u w:color="000000"/>
        </w:rPr>
        <w:t>w koronie możliwe obumieranie peryferyjnych części korony i powstawanie wtórnej korony poniżej (wycofywanie korony),</w:t>
      </w:r>
    </w:p>
    <w:p w14:paraId="175F0CFA" w14:textId="77777777" w:rsidR="001771A2" w:rsidRDefault="00D9625D">
      <w:pPr>
        <w:keepLines/>
        <w:spacing w:before="120" w:after="120"/>
        <w:ind w:left="567" w:hanging="227"/>
        <w:rPr>
          <w:color w:val="000000"/>
          <w:u w:color="000000"/>
        </w:rPr>
      </w:pPr>
      <w:r>
        <w:t>b) </w:t>
      </w:r>
      <w:r>
        <w:rPr>
          <w:color w:val="000000"/>
          <w:u w:color="000000"/>
        </w:rPr>
        <w:t>rozległe ubytki pnia, które tworzą cenne siedliska dla licznej grupy zwierząt, roślin, grzybów i innych organizmów,</w:t>
      </w:r>
    </w:p>
    <w:p w14:paraId="34818938" w14:textId="77777777" w:rsidR="001771A2" w:rsidRDefault="00D9625D">
      <w:pPr>
        <w:keepLines/>
        <w:spacing w:before="120" w:after="120"/>
        <w:ind w:left="567" w:hanging="227"/>
        <w:rPr>
          <w:color w:val="000000"/>
          <w:u w:color="000000"/>
        </w:rPr>
      </w:pPr>
      <w:r>
        <w:t>c) </w:t>
      </w:r>
      <w:r>
        <w:rPr>
          <w:color w:val="000000"/>
          <w:u w:color="000000"/>
        </w:rPr>
        <w:t xml:space="preserve">wytwarzanie korzeni </w:t>
      </w:r>
      <w:r>
        <w:rPr>
          <w:color w:val="000000"/>
          <w:u w:color="000000"/>
        </w:rPr>
        <w:t>przybyszowych do wnętrza pnia, korzystających z rozkładanej przez grzyby materii organicznej,</w:t>
      </w:r>
    </w:p>
    <w:p w14:paraId="6879FE3C" w14:textId="77777777" w:rsidR="001771A2" w:rsidRDefault="00D9625D">
      <w:pPr>
        <w:keepLines/>
        <w:spacing w:before="120" w:after="120"/>
        <w:ind w:left="567" w:hanging="227"/>
        <w:rPr>
          <w:color w:val="000000"/>
          <w:u w:color="000000"/>
        </w:rPr>
      </w:pPr>
      <w:r>
        <w:t>d) </w:t>
      </w:r>
      <w:r>
        <w:rPr>
          <w:color w:val="000000"/>
          <w:u w:color="000000"/>
        </w:rPr>
        <w:t>postępujące wyodrębnianie się z pnia kolumn funkcjonalnych poprzez lokalnie silniejszy przyrost</w:t>
      </w:r>
      <w:r>
        <w:rPr>
          <w:color w:val="000000"/>
          <w:u w:color="000000"/>
        </w:rPr>
        <w:t>;</w:t>
      </w:r>
    </w:p>
    <w:p w14:paraId="2B1B3C48" w14:textId="77777777" w:rsidR="001771A2" w:rsidRDefault="00D9625D">
      <w:pPr>
        <w:keepLines/>
        <w:spacing w:before="120" w:after="120"/>
        <w:ind w:left="340" w:hanging="227"/>
        <w:rPr>
          <w:color w:val="000000"/>
          <w:u w:color="000000"/>
        </w:rPr>
      </w:pPr>
      <w:r>
        <w:t>4) </w:t>
      </w:r>
      <w:r>
        <w:rPr>
          <w:color w:val="000000"/>
          <w:u w:color="000000"/>
        </w:rPr>
        <w:t xml:space="preserve">drzewo weterańskie, drzewo weteran - drzewo, które </w:t>
      </w:r>
      <w:r>
        <w:rPr>
          <w:color w:val="000000"/>
          <w:u w:color="000000"/>
        </w:rPr>
        <w:t>posiada cechy drzewa sędziwego, jednak wykształcone niezależnie od wieku chronologicznego;</w:t>
      </w:r>
    </w:p>
    <w:p w14:paraId="4EE472FE" w14:textId="77777777" w:rsidR="001771A2" w:rsidRDefault="00D9625D">
      <w:pPr>
        <w:keepLines/>
        <w:spacing w:before="120" w:after="120"/>
        <w:ind w:left="340" w:hanging="227"/>
        <w:rPr>
          <w:color w:val="000000"/>
          <w:u w:color="000000"/>
        </w:rPr>
      </w:pPr>
      <w:r>
        <w:t>5) </w:t>
      </w:r>
      <w:r>
        <w:rPr>
          <w:color w:val="000000"/>
          <w:u w:color="000000"/>
        </w:rPr>
        <w:t>drzewa pochodzące z samosiewu - drzewa, które nie zostały nasadzone przez człowieka, a wyrosły w toku naturalnego procesu rozsiewania się nasion; mogą to być zarówno młode drzewka, jak i drzewa dojrzałe;</w:t>
      </w:r>
    </w:p>
    <w:p w14:paraId="2D1C5623" w14:textId="77777777" w:rsidR="001771A2" w:rsidRDefault="00D9625D">
      <w:pPr>
        <w:keepLines/>
        <w:spacing w:before="120" w:after="120"/>
        <w:ind w:left="340" w:hanging="227"/>
        <w:rPr>
          <w:color w:val="000000"/>
          <w:u w:color="000000"/>
        </w:rPr>
      </w:pPr>
      <w:r>
        <w:t>6) </w:t>
      </w:r>
      <w:proofErr w:type="spellStart"/>
      <w:r>
        <w:rPr>
          <w:color w:val="000000"/>
          <w:u w:color="000000"/>
        </w:rPr>
        <w:t>rozbrukowanie</w:t>
      </w:r>
      <w:proofErr w:type="spellEnd"/>
      <w:r>
        <w:rPr>
          <w:color w:val="000000"/>
          <w:u w:color="000000"/>
        </w:rPr>
        <w:t xml:space="preserve"> - usunięcie nieprzepuszczalnej warstwy np. betonu, asfaltu, bruku kamiennego i zastąpienie jej roślinnością;</w:t>
      </w:r>
    </w:p>
    <w:p w14:paraId="33214AB7" w14:textId="77777777" w:rsidR="001771A2" w:rsidRDefault="00D9625D">
      <w:pPr>
        <w:keepLines/>
        <w:spacing w:before="120" w:after="120"/>
        <w:ind w:left="340" w:hanging="227"/>
        <w:rPr>
          <w:color w:val="000000"/>
          <w:u w:color="000000"/>
        </w:rPr>
      </w:pPr>
      <w:r>
        <w:t>7) </w:t>
      </w:r>
      <w:r>
        <w:rPr>
          <w:color w:val="000000"/>
          <w:u w:color="000000"/>
        </w:rPr>
        <w:t xml:space="preserve">Zielony Fundusz - baza propozycji działań inwestycyjnych i utrzymaniowych dotyczących zieleni, które będą mogły być sponsorowane przez podmioty zewnętrzne, np. w ramach społecznej odpowiedzialności biznesu (ang. </w:t>
      </w:r>
      <w:proofErr w:type="spellStart"/>
      <w:r>
        <w:rPr>
          <w:color w:val="000000"/>
          <w:u w:color="000000"/>
        </w:rPr>
        <w:t>Corporate</w:t>
      </w:r>
      <w:proofErr w:type="spellEnd"/>
      <w:r>
        <w:rPr>
          <w:color w:val="000000"/>
          <w:u w:color="000000"/>
        </w:rPr>
        <w:t xml:space="preserve"> </w:t>
      </w:r>
      <w:proofErr w:type="spellStart"/>
      <w:r>
        <w:rPr>
          <w:color w:val="000000"/>
          <w:u w:color="000000"/>
        </w:rPr>
        <w:t>Social</w:t>
      </w:r>
      <w:proofErr w:type="spellEnd"/>
      <w:r>
        <w:rPr>
          <w:color w:val="000000"/>
          <w:u w:color="000000"/>
        </w:rPr>
        <w:t xml:space="preserve"> </w:t>
      </w:r>
      <w:proofErr w:type="spellStart"/>
      <w:r>
        <w:rPr>
          <w:color w:val="000000"/>
          <w:u w:color="000000"/>
        </w:rPr>
        <w:t>Responsibility</w:t>
      </w:r>
      <w:proofErr w:type="spellEnd"/>
      <w:r>
        <w:rPr>
          <w:color w:val="000000"/>
          <w:u w:color="000000"/>
        </w:rPr>
        <w:t xml:space="preserve"> - CSR).</w:t>
      </w:r>
    </w:p>
    <w:p w14:paraId="1F3C2BB2" w14:textId="77777777" w:rsidR="001771A2" w:rsidRDefault="00D9625D">
      <w:pPr>
        <w:keepNext/>
        <w:keepLines/>
        <w:spacing w:line="360" w:lineRule="auto"/>
        <w:jc w:val="center"/>
        <w:rPr>
          <w:color w:val="000000"/>
          <w:u w:color="000000"/>
        </w:rPr>
      </w:pPr>
      <w:r>
        <w:rPr>
          <w:b/>
        </w:rPr>
        <w:t>Rozdział 4.</w:t>
      </w:r>
      <w:r>
        <w:rPr>
          <w:color w:val="000000"/>
          <w:u w:color="000000"/>
        </w:rPr>
        <w:br/>
      </w:r>
      <w:r>
        <w:rPr>
          <w:b/>
          <w:color w:val="000000"/>
          <w:u w:color="000000"/>
        </w:rPr>
        <w:t>Zastosowanie Standardów w procesie inwestycji</w:t>
      </w:r>
    </w:p>
    <w:p w14:paraId="6264FDA4" w14:textId="77777777" w:rsidR="001771A2" w:rsidRDefault="00D9625D">
      <w:pPr>
        <w:keepLines/>
        <w:spacing w:before="120" w:after="120"/>
        <w:ind w:firstLine="340"/>
        <w:rPr>
          <w:color w:val="000000"/>
          <w:u w:color="000000"/>
        </w:rPr>
      </w:pPr>
      <w:r>
        <w:rPr>
          <w:b/>
        </w:rPr>
        <w:t>§ 4. </w:t>
      </w:r>
      <w:r>
        <w:rPr>
          <w:color w:val="000000"/>
          <w:u w:color="000000"/>
        </w:rPr>
        <w:t xml:space="preserve">W procesie planowania inwestycji należy każdorazowo dążyć do maksymalnego zachowania istniejących </w:t>
      </w:r>
      <w:proofErr w:type="spellStart"/>
      <w:r>
        <w:rPr>
          <w:color w:val="000000"/>
          <w:u w:color="000000"/>
        </w:rPr>
        <w:t>zadrzewień</w:t>
      </w:r>
      <w:proofErr w:type="spellEnd"/>
      <w:r>
        <w:rPr>
          <w:color w:val="000000"/>
          <w:u w:color="000000"/>
        </w:rPr>
        <w:t>, w tym drzew pochodzących z samosiewu.</w:t>
      </w:r>
    </w:p>
    <w:p w14:paraId="57635C56" w14:textId="77777777" w:rsidR="001771A2" w:rsidRDefault="00D9625D">
      <w:pPr>
        <w:keepLines/>
        <w:spacing w:before="120" w:after="120"/>
        <w:ind w:firstLine="340"/>
        <w:rPr>
          <w:color w:val="000000"/>
          <w:u w:color="000000"/>
        </w:rPr>
      </w:pPr>
      <w:r>
        <w:rPr>
          <w:b/>
        </w:rPr>
        <w:t>§ 5. </w:t>
      </w:r>
      <w:r>
        <w:rPr>
          <w:color w:val="000000"/>
          <w:u w:color="000000"/>
        </w:rPr>
        <w:t>W procesie planowania inwestycji należy każdorazowo w specyfikacji warunków zamówienia zawrzeć postanowienia pozwalające wcielić w życie zasady i obowiązki wynikające z niniejszego zarządzenia.</w:t>
      </w:r>
    </w:p>
    <w:p w14:paraId="19DA2E54" w14:textId="77777777" w:rsidR="001771A2" w:rsidRDefault="00D9625D">
      <w:pPr>
        <w:keepLines/>
        <w:spacing w:before="120" w:after="120"/>
        <w:ind w:firstLine="340"/>
        <w:rPr>
          <w:color w:val="000000"/>
          <w:u w:color="000000"/>
        </w:rPr>
      </w:pPr>
      <w:r>
        <w:rPr>
          <w:b/>
        </w:rPr>
        <w:t>§ 6. </w:t>
      </w:r>
      <w:r>
        <w:rPr>
          <w:color w:val="000000"/>
          <w:u w:color="000000"/>
        </w:rPr>
        <w:t>W uzasadnionych przypadkach (np. cenne zadrzewienia, szpalery, aleje, drzewa o wymiarach pomnikowych, drzewa sędziwe i weterańskie) należy zapewnić nadzór inwestorski w zakresie ochrony zieleni nad zlecanymi pracami.</w:t>
      </w:r>
    </w:p>
    <w:p w14:paraId="6230133F" w14:textId="77777777" w:rsidR="001771A2" w:rsidRDefault="00D9625D">
      <w:pPr>
        <w:keepLines/>
        <w:spacing w:before="120" w:after="120"/>
        <w:ind w:firstLine="340"/>
        <w:rPr>
          <w:color w:val="000000"/>
          <w:u w:color="000000"/>
        </w:rPr>
      </w:pPr>
      <w:r>
        <w:rPr>
          <w:b/>
        </w:rPr>
        <w:lastRenderedPageBreak/>
        <w:t>§ 7. </w:t>
      </w:r>
      <w:r>
        <w:rPr>
          <w:color w:val="000000"/>
          <w:u w:color="000000"/>
        </w:rPr>
        <w:t>W przypadku inwestycji, dla których w dniu wejścia w życie zarządzenia nie wszczęto jeszcze postępowania o udzielenie zamówienia publicznego na wykonanie dokumentacji projektowej oraz w przypadkach, gdy od odbioru dokumentacji projektowej lub uzyskania prawomocnej decyzji o udzieleniu pozwolenia na budowę (w zależności od tego, który termin jest późniejszy) minęło więcej niż 3 lata, należy zapewnić wykonanie dokumentacji projektowej zgodnie z niniejszym zarządzeniem. Odstępstwo od tej reguły wymaga zgody Dy</w:t>
      </w:r>
      <w:r>
        <w:rPr>
          <w:color w:val="000000"/>
          <w:u w:color="000000"/>
        </w:rPr>
        <w:t>rektora Zarządzającego ds. Zielonego Gdańska.</w:t>
      </w:r>
    </w:p>
    <w:p w14:paraId="695F43B5" w14:textId="77777777" w:rsidR="001771A2" w:rsidRDefault="00D9625D">
      <w:pPr>
        <w:keepLines/>
        <w:spacing w:before="120" w:after="120"/>
        <w:ind w:firstLine="340"/>
        <w:rPr>
          <w:color w:val="000000"/>
          <w:u w:color="000000"/>
        </w:rPr>
      </w:pPr>
      <w:r>
        <w:rPr>
          <w:b/>
        </w:rPr>
        <w:t>§ 8. </w:t>
      </w:r>
      <w:r>
        <w:rPr>
          <w:color w:val="000000"/>
          <w:u w:color="000000"/>
        </w:rPr>
        <w:t>W przypadku inwestycji, dla których w dniu wejścia w życie zarządzenia nie wszczęto jeszcze postępowania o udzielenie zamówienia publicznego na wykonanie robót budowlanych, należy zapewnić projekt ochrony zieleni oraz uwzględnić zapisy zarządzenia dotyczące organizacji budowy.</w:t>
      </w:r>
    </w:p>
    <w:p w14:paraId="06B55F35" w14:textId="77777777" w:rsidR="001771A2" w:rsidRDefault="00D9625D">
      <w:pPr>
        <w:keepLines/>
        <w:spacing w:before="120" w:after="120"/>
        <w:ind w:firstLine="340"/>
        <w:rPr>
          <w:color w:val="000000"/>
          <w:u w:color="000000"/>
        </w:rPr>
      </w:pPr>
      <w:r>
        <w:rPr>
          <w:b/>
        </w:rPr>
        <w:t>§ 9. </w:t>
      </w:r>
      <w:r>
        <w:rPr>
          <w:color w:val="000000"/>
          <w:u w:color="000000"/>
        </w:rPr>
        <w:t>W przypadku inwestycji prowadzonych w formule „zaprojektuj – wybuduj”, dla których w dniu wejścia w życie zarządzenia nie wszczęto jeszcze postępowania o udzielenie zamówienia publicznego na wykonanie dokumentacji projektowej i wykonanie robót budowlanych, należy zapewnić wykonanie dokumentacji i wykonanie robót zgodnie z niniejszym zarządzeniem.</w:t>
      </w:r>
    </w:p>
    <w:p w14:paraId="77122FAB" w14:textId="77777777" w:rsidR="001771A2" w:rsidRDefault="00D9625D">
      <w:pPr>
        <w:keepLines/>
        <w:spacing w:before="120" w:after="120"/>
        <w:ind w:firstLine="340"/>
        <w:rPr>
          <w:color w:val="000000"/>
          <w:u w:color="000000"/>
        </w:rPr>
      </w:pPr>
      <w:r>
        <w:rPr>
          <w:b/>
        </w:rPr>
        <w:t>§ 10. </w:t>
      </w:r>
      <w:r>
        <w:rPr>
          <w:b/>
        </w:rPr>
        <w:t xml:space="preserve">1. </w:t>
      </w:r>
      <w:r>
        <w:rPr>
          <w:color w:val="000000"/>
          <w:u w:color="000000"/>
        </w:rPr>
        <w:t>W umowach, których przedmiotem jest realizacja robót budowlanych, należy ustalać kary umowne za pogorszenie siedliska drzew, uszkodzenie lub zniszczenie zieleni i gleby oraz naruszenie zakazów obowiązujących w strefach ochrony drzew i na terenach przeznaczonych do zagospodarowania w formie zieleni, określonych w Standardach</w:t>
      </w:r>
      <w:r>
        <w:rPr>
          <w:color w:val="000000"/>
          <w:u w:color="000000"/>
        </w:rPr>
        <w:t>,</w:t>
      </w:r>
      <w:r>
        <w:rPr>
          <w:color w:val="000000"/>
          <w:u w:color="000000"/>
        </w:rPr>
        <w:t xml:space="preserve"> </w:t>
      </w:r>
      <w:r>
        <w:rPr>
          <w:color w:val="000000"/>
          <w:u w:color="000000"/>
        </w:rPr>
        <w:t>w następujących przypadkach i wysokościach:</w:t>
      </w:r>
    </w:p>
    <w:p w14:paraId="0FBBB4E6" w14:textId="77777777" w:rsidR="001771A2" w:rsidRDefault="00D9625D">
      <w:pPr>
        <w:keepLines/>
        <w:spacing w:before="120" w:after="120"/>
        <w:ind w:left="340" w:hanging="227"/>
        <w:rPr>
          <w:color w:val="000000"/>
          <w:u w:color="000000"/>
        </w:rPr>
      </w:pPr>
      <w:r>
        <w:t>1) </w:t>
      </w:r>
      <w:r>
        <w:rPr>
          <w:color w:val="000000"/>
          <w:u w:color="000000"/>
        </w:rPr>
        <w:t>z</w:t>
      </w:r>
      <w:r>
        <w:rPr>
          <w:color w:val="000000"/>
          <w:u w:color="000000"/>
        </w:rPr>
        <w:t>a ulokowanie obiektów tymczasowych (np. biura, toalety itp.) w strefie ochrony drzewa (SOD):</w:t>
      </w:r>
    </w:p>
    <w:p w14:paraId="2F17A61C" w14:textId="77777777" w:rsidR="001771A2" w:rsidRDefault="00D9625D">
      <w:pPr>
        <w:keepLines/>
        <w:spacing w:before="120" w:after="120"/>
        <w:ind w:left="567" w:hanging="113"/>
        <w:rPr>
          <w:color w:val="000000"/>
          <w:u w:color="000000"/>
        </w:rPr>
      </w:pPr>
      <w:r>
        <w:t xml:space="preserve">a) </w:t>
      </w:r>
      <w:r>
        <w:rPr>
          <w:color w:val="000000"/>
          <w:u w:color="000000"/>
        </w:rPr>
        <w:t>2000 zł za każde stwierdzenie naruszenia w strefie SOD</w:t>
      </w:r>
      <w:r>
        <w:rPr>
          <w:color w:val="000000"/>
          <w:u w:color="000000"/>
        </w:rPr>
        <w:t>,</w:t>
      </w:r>
    </w:p>
    <w:p w14:paraId="394C4FBF" w14:textId="77777777" w:rsidR="001771A2" w:rsidRDefault="00D9625D">
      <w:pPr>
        <w:keepLines/>
        <w:spacing w:before="120" w:after="120"/>
        <w:ind w:left="567" w:hanging="113"/>
        <w:rPr>
          <w:color w:val="000000"/>
          <w:u w:color="000000"/>
        </w:rPr>
      </w:pPr>
      <w:r>
        <w:t xml:space="preserve">b) </w:t>
      </w:r>
      <w:r>
        <w:rPr>
          <w:color w:val="000000"/>
          <w:u w:color="000000"/>
        </w:rPr>
        <w:t xml:space="preserve">200 zł za każdy </w:t>
      </w:r>
      <w:r>
        <w:rPr>
          <w:color w:val="000000"/>
          <w:u w:color="000000"/>
        </w:rPr>
        <w:t>dzień zwłoki w usunięciu naruszenia, liczone dla każdego przypadku osobno</w:t>
      </w:r>
      <w:r>
        <w:rPr>
          <w:color w:val="000000"/>
          <w:u w:color="000000"/>
        </w:rPr>
        <w:t>;</w:t>
      </w:r>
    </w:p>
    <w:p w14:paraId="3F9C287B" w14:textId="77777777" w:rsidR="001771A2" w:rsidRDefault="00D9625D">
      <w:pPr>
        <w:keepLines/>
        <w:spacing w:before="120" w:after="120"/>
        <w:ind w:left="340" w:hanging="227"/>
        <w:rPr>
          <w:color w:val="000000"/>
          <w:u w:color="000000"/>
        </w:rPr>
      </w:pPr>
      <w:r>
        <w:t>2) </w:t>
      </w:r>
      <w:r>
        <w:rPr>
          <w:color w:val="000000"/>
          <w:u w:color="000000"/>
        </w:rPr>
        <w:t>z</w:t>
      </w:r>
      <w:r>
        <w:rPr>
          <w:color w:val="000000"/>
          <w:u w:color="000000"/>
        </w:rPr>
        <w:t>a ulokowanie placów postojowych i składowisk materiałów budowlanych, kruszyw, gruntów i środków chemicznych w SOD:</w:t>
      </w:r>
    </w:p>
    <w:p w14:paraId="64C9C535" w14:textId="77777777" w:rsidR="001771A2" w:rsidRDefault="00D9625D">
      <w:pPr>
        <w:keepLines/>
        <w:spacing w:before="120" w:after="120"/>
        <w:ind w:left="567" w:hanging="113"/>
        <w:rPr>
          <w:color w:val="000000"/>
          <w:u w:color="000000"/>
        </w:rPr>
      </w:pPr>
      <w:r>
        <w:t xml:space="preserve">a) </w:t>
      </w:r>
      <w:r>
        <w:rPr>
          <w:color w:val="000000"/>
          <w:u w:color="000000"/>
        </w:rPr>
        <w:t>2000 zł za każde stwierdzenie naruszenia w strefie SOD</w:t>
      </w:r>
      <w:r>
        <w:rPr>
          <w:color w:val="000000"/>
          <w:u w:color="000000"/>
        </w:rPr>
        <w:t>,</w:t>
      </w:r>
    </w:p>
    <w:p w14:paraId="2B9F69E2" w14:textId="77777777" w:rsidR="001771A2" w:rsidRDefault="00D9625D">
      <w:pPr>
        <w:keepLines/>
        <w:spacing w:before="120" w:after="120"/>
        <w:ind w:left="567" w:hanging="113"/>
        <w:rPr>
          <w:color w:val="000000"/>
          <w:u w:color="000000"/>
        </w:rPr>
      </w:pPr>
      <w:r>
        <w:rPr>
          <w:color w:val="000000"/>
          <w:u w:color="000000"/>
        </w:rPr>
        <w:t xml:space="preserve">b) </w:t>
      </w:r>
      <w:r>
        <w:rPr>
          <w:color w:val="000000"/>
          <w:u w:color="000000"/>
        </w:rPr>
        <w:t>200 zł za każdy dzień zwłoki w usunięciu naruszenia, liczone dla każdego przypadku osobno</w:t>
      </w:r>
      <w:r>
        <w:rPr>
          <w:color w:val="000000"/>
          <w:u w:color="000000"/>
        </w:rPr>
        <w:t>;</w:t>
      </w:r>
    </w:p>
    <w:p w14:paraId="1DADBE99" w14:textId="77777777" w:rsidR="001771A2" w:rsidRDefault="00D9625D">
      <w:pPr>
        <w:keepLines/>
        <w:spacing w:before="120" w:after="120"/>
        <w:ind w:left="340" w:hanging="227"/>
        <w:rPr>
          <w:color w:val="000000"/>
          <w:u w:color="000000"/>
        </w:rPr>
      </w:pPr>
      <w:r>
        <w:t>3) </w:t>
      </w:r>
      <w:r>
        <w:rPr>
          <w:color w:val="000000"/>
          <w:u w:color="000000"/>
        </w:rPr>
        <w:t>z</w:t>
      </w:r>
      <w:r>
        <w:rPr>
          <w:color w:val="000000"/>
          <w:u w:color="000000"/>
        </w:rPr>
        <w:t>a poruszanie się sprzętu, maszyn i pojazdów w SOD, bez odpowiedniego zabezpieczanie podłoża przed zagęszczaniem i ingerencją w systemy korzeniowe drzew:</w:t>
      </w:r>
    </w:p>
    <w:p w14:paraId="2D75AF9A" w14:textId="77777777" w:rsidR="001771A2" w:rsidRDefault="00D9625D">
      <w:pPr>
        <w:keepLines/>
        <w:spacing w:before="120" w:after="120"/>
        <w:ind w:left="567" w:hanging="113"/>
        <w:rPr>
          <w:color w:val="000000"/>
          <w:u w:color="000000"/>
        </w:rPr>
      </w:pPr>
      <w:r>
        <w:t xml:space="preserve">a) </w:t>
      </w:r>
      <w:r>
        <w:rPr>
          <w:color w:val="000000"/>
          <w:u w:color="000000"/>
        </w:rPr>
        <w:t>1000 zł za każde stwierdzenie naruszenia w strefie SOD</w:t>
      </w:r>
      <w:r>
        <w:rPr>
          <w:color w:val="000000"/>
          <w:u w:color="000000"/>
        </w:rPr>
        <w:t>,</w:t>
      </w:r>
    </w:p>
    <w:p w14:paraId="16DE6D61" w14:textId="77777777" w:rsidR="001771A2" w:rsidRDefault="00D9625D">
      <w:pPr>
        <w:keepLines/>
        <w:spacing w:before="120" w:after="120"/>
        <w:ind w:left="567" w:hanging="113"/>
        <w:rPr>
          <w:color w:val="000000"/>
          <w:u w:color="000000"/>
        </w:rPr>
      </w:pPr>
      <w:r>
        <w:t>b)</w:t>
      </w:r>
      <w:r>
        <w:t> </w:t>
      </w:r>
      <w:r>
        <w:rPr>
          <w:color w:val="000000"/>
          <w:u w:color="000000"/>
        </w:rPr>
        <w:t>100 zł za każdy dzień zwłoki w usunięciu naruszenia (np. poprzez wykonanie tymczasowych dróg technologicznych), liczone dla każdego przypadku osobno</w:t>
      </w:r>
      <w:r>
        <w:rPr>
          <w:color w:val="000000"/>
          <w:u w:color="000000"/>
        </w:rPr>
        <w:t>;</w:t>
      </w:r>
    </w:p>
    <w:p w14:paraId="6E16F22F" w14:textId="77777777" w:rsidR="001771A2" w:rsidRDefault="00D9625D">
      <w:pPr>
        <w:keepLines/>
        <w:spacing w:before="120" w:after="120"/>
        <w:ind w:left="340" w:hanging="227"/>
        <w:rPr>
          <w:color w:val="000000"/>
          <w:u w:color="000000"/>
        </w:rPr>
      </w:pPr>
      <w:r>
        <w:t>4) </w:t>
      </w:r>
      <w:r>
        <w:rPr>
          <w:color w:val="000000"/>
          <w:u w:color="000000"/>
        </w:rPr>
        <w:t>z</w:t>
      </w:r>
      <w:r>
        <w:rPr>
          <w:color w:val="000000"/>
          <w:u w:color="000000"/>
        </w:rPr>
        <w:t>a wysypywanie lub wylewanie odpadów powstających w procesie budowlanym, w tym płukanie i mycie maszyn i narzędzi w strefie SOD:</w:t>
      </w:r>
    </w:p>
    <w:p w14:paraId="0155EE03" w14:textId="77777777" w:rsidR="001771A2" w:rsidRDefault="00D9625D">
      <w:pPr>
        <w:keepLines/>
        <w:spacing w:before="120" w:after="120"/>
        <w:ind w:left="567" w:hanging="113"/>
        <w:rPr>
          <w:color w:val="000000"/>
          <w:u w:color="000000"/>
        </w:rPr>
      </w:pPr>
      <w:r>
        <w:t>a)</w:t>
      </w:r>
      <w:r>
        <w:t> </w:t>
      </w:r>
      <w:r>
        <w:rPr>
          <w:color w:val="000000"/>
          <w:u w:color="000000"/>
        </w:rPr>
        <w:t>2000 zł za każde stwierdzenie naruszenia w strefie SOD</w:t>
      </w:r>
      <w:r>
        <w:rPr>
          <w:color w:val="000000"/>
          <w:u w:color="000000"/>
        </w:rPr>
        <w:t>,</w:t>
      </w:r>
    </w:p>
    <w:p w14:paraId="5898A328" w14:textId="77777777" w:rsidR="001771A2" w:rsidRDefault="00D9625D">
      <w:pPr>
        <w:keepLines/>
        <w:spacing w:before="120" w:after="120"/>
        <w:ind w:left="567" w:hanging="113"/>
        <w:rPr>
          <w:color w:val="000000"/>
          <w:u w:color="000000"/>
        </w:rPr>
      </w:pPr>
      <w:r>
        <w:t>b)</w:t>
      </w:r>
      <w:r>
        <w:t> </w:t>
      </w:r>
      <w:r>
        <w:rPr>
          <w:color w:val="000000"/>
          <w:u w:color="000000"/>
        </w:rPr>
        <w:t>200 zł za każdy dzień zwłoki w usunięciu naruszenia, liczone dla każdego przypadku osobno</w:t>
      </w:r>
      <w:r>
        <w:rPr>
          <w:color w:val="000000"/>
          <w:u w:color="000000"/>
        </w:rPr>
        <w:t>;</w:t>
      </w:r>
    </w:p>
    <w:p w14:paraId="72B82CF7" w14:textId="77777777" w:rsidR="001771A2" w:rsidRDefault="00D9625D">
      <w:pPr>
        <w:keepLines/>
        <w:spacing w:before="120" w:after="120"/>
        <w:ind w:left="340" w:hanging="227"/>
        <w:rPr>
          <w:color w:val="000000"/>
          <w:u w:color="000000"/>
        </w:rPr>
      </w:pPr>
      <w:r>
        <w:t>5) </w:t>
      </w:r>
      <w:r>
        <w:rPr>
          <w:color w:val="000000"/>
          <w:u w:color="000000"/>
        </w:rPr>
        <w:t>z</w:t>
      </w:r>
      <w:r>
        <w:rPr>
          <w:color w:val="000000"/>
          <w:u w:color="000000"/>
        </w:rPr>
        <w:t>a brak zabezpieczenia drzew zgodnego ze Standardem ochrony drzew i innych form zieleni w procesie inwestycyjnym na terenie placu budowy:</w:t>
      </w:r>
    </w:p>
    <w:p w14:paraId="1EA1F991" w14:textId="77777777" w:rsidR="001771A2" w:rsidRDefault="00D9625D">
      <w:pPr>
        <w:keepLines/>
        <w:spacing w:before="120" w:after="120"/>
        <w:ind w:left="567" w:hanging="113"/>
        <w:rPr>
          <w:color w:val="000000"/>
          <w:u w:color="000000"/>
        </w:rPr>
      </w:pPr>
      <w:r>
        <w:t>a)</w:t>
      </w:r>
      <w:r>
        <w:t> </w:t>
      </w:r>
      <w:r>
        <w:rPr>
          <w:color w:val="000000"/>
          <w:u w:color="000000"/>
        </w:rPr>
        <w:t>500 zł za każde stwierdzone niezabezpieczone drzewo</w:t>
      </w:r>
      <w:r>
        <w:rPr>
          <w:color w:val="000000"/>
          <w:u w:color="000000"/>
        </w:rPr>
        <w:t>,</w:t>
      </w:r>
    </w:p>
    <w:p w14:paraId="46EFF0A3" w14:textId="77777777" w:rsidR="001771A2" w:rsidRDefault="00D9625D">
      <w:pPr>
        <w:keepLines/>
        <w:spacing w:before="120" w:after="120"/>
        <w:ind w:left="567" w:hanging="113"/>
        <w:rPr>
          <w:color w:val="000000"/>
          <w:u w:color="000000"/>
        </w:rPr>
      </w:pPr>
      <w:r>
        <w:t>b)</w:t>
      </w:r>
      <w:r>
        <w:t> </w:t>
      </w:r>
      <w:r>
        <w:rPr>
          <w:color w:val="000000"/>
          <w:u w:color="000000"/>
        </w:rPr>
        <w:t>100 zł za każdy dzień zwłoki w usunięciu naruszenia, liczone dla każdego przypadku osobno</w:t>
      </w:r>
      <w:r>
        <w:rPr>
          <w:color w:val="000000"/>
          <w:u w:color="000000"/>
        </w:rPr>
        <w:t>;</w:t>
      </w:r>
    </w:p>
    <w:p w14:paraId="7DEF898F" w14:textId="77777777" w:rsidR="001771A2" w:rsidRDefault="00D9625D">
      <w:pPr>
        <w:keepLines/>
        <w:spacing w:before="120" w:after="120"/>
        <w:ind w:left="340" w:hanging="227"/>
        <w:rPr>
          <w:color w:val="000000"/>
          <w:u w:color="000000"/>
        </w:rPr>
      </w:pPr>
      <w:r>
        <w:t>6) </w:t>
      </w:r>
      <w:r>
        <w:t>z</w:t>
      </w:r>
      <w:r>
        <w:rPr>
          <w:color w:val="000000"/>
          <w:u w:color="000000"/>
        </w:rPr>
        <w:t>a niewłaściwe zabezpieczenie drzew na placu budowy niezgodne ze Standardem ochrony drzew i innych form zieleni w procesie inwestycyjnym:</w:t>
      </w:r>
    </w:p>
    <w:p w14:paraId="697D25D0" w14:textId="77777777" w:rsidR="001771A2" w:rsidRDefault="00D9625D">
      <w:pPr>
        <w:keepLines/>
        <w:spacing w:before="120" w:after="120"/>
        <w:ind w:left="567" w:hanging="113"/>
        <w:rPr>
          <w:color w:val="000000"/>
          <w:u w:color="000000"/>
        </w:rPr>
      </w:pPr>
      <w:r>
        <w:t>a)</w:t>
      </w:r>
      <w:r>
        <w:t> </w:t>
      </w:r>
      <w:r>
        <w:rPr>
          <w:color w:val="000000"/>
          <w:u w:color="000000"/>
        </w:rPr>
        <w:t>300 zł za każde stwierdzenie niewłaściwego zabezpieczenia drzewa</w:t>
      </w:r>
      <w:r>
        <w:rPr>
          <w:color w:val="000000"/>
          <w:u w:color="000000"/>
        </w:rPr>
        <w:t>,</w:t>
      </w:r>
    </w:p>
    <w:p w14:paraId="012087F0" w14:textId="77777777" w:rsidR="001771A2" w:rsidRDefault="00D9625D">
      <w:pPr>
        <w:keepLines/>
        <w:spacing w:before="120" w:after="120"/>
        <w:ind w:left="567" w:hanging="113"/>
        <w:rPr>
          <w:color w:val="000000"/>
          <w:u w:color="000000"/>
        </w:rPr>
      </w:pPr>
      <w:r>
        <w:t>b)</w:t>
      </w:r>
      <w:r>
        <w:t> </w:t>
      </w:r>
      <w:r>
        <w:rPr>
          <w:color w:val="000000"/>
          <w:u w:color="000000"/>
        </w:rPr>
        <w:t xml:space="preserve">100 zł za każdy dzień </w:t>
      </w:r>
      <w:r>
        <w:rPr>
          <w:color w:val="000000"/>
          <w:u w:color="000000"/>
        </w:rPr>
        <w:t>zwłoki w usunięciu naruszenia, liczone dla każdego przypadku osobno</w:t>
      </w:r>
      <w:r>
        <w:rPr>
          <w:color w:val="000000"/>
          <w:u w:color="000000"/>
        </w:rPr>
        <w:t>;</w:t>
      </w:r>
    </w:p>
    <w:p w14:paraId="580BC0D4" w14:textId="77777777" w:rsidR="001771A2" w:rsidRDefault="00D9625D">
      <w:pPr>
        <w:keepLines/>
        <w:spacing w:before="120" w:after="120"/>
        <w:ind w:left="340" w:hanging="227"/>
        <w:rPr>
          <w:color w:val="000000"/>
        </w:rPr>
      </w:pPr>
      <w:r>
        <w:t>7</w:t>
      </w:r>
      <w:r>
        <w:t>) </w:t>
      </w:r>
      <w:r>
        <w:rPr>
          <w:color w:val="000000"/>
          <w:u w:color="000000"/>
        </w:rPr>
        <w:t>w</w:t>
      </w:r>
      <w:r>
        <w:rPr>
          <w:color w:val="000000"/>
          <w:u w:color="000000"/>
        </w:rPr>
        <w:t xml:space="preserve"> przypadku uszkodzenia korzenia lub korzeni o średnicy powyżej 5 cm, Wykonawca ma obowiązek wykonania 2 badań specjalistycznych określających stabilność drzewa. Pierwsze badanie w terminie 7 dni od momentu stwierdzenia przypadku, drugie po upływie 2 lat. Za każdy dzień zwłoki w wykonaniu badań specjalistycznych określających stabilność drzewa - 200 zł</w:t>
      </w:r>
      <w:r>
        <w:rPr>
          <w:color w:val="000000"/>
          <w:u w:color="000000"/>
        </w:rPr>
        <w:t>;</w:t>
      </w:r>
    </w:p>
    <w:p w14:paraId="55F15929" w14:textId="77777777" w:rsidR="001771A2" w:rsidRDefault="00D9625D">
      <w:pPr>
        <w:keepLines/>
        <w:spacing w:before="120" w:after="120"/>
        <w:ind w:left="340" w:hanging="227"/>
        <w:rPr>
          <w:color w:val="000000"/>
        </w:rPr>
      </w:pPr>
      <w:r>
        <w:lastRenderedPageBreak/>
        <w:t>8</w:t>
      </w:r>
      <w:r>
        <w:t>) </w:t>
      </w:r>
      <w:r>
        <w:rPr>
          <w:color w:val="000000"/>
          <w:u w:color="000000"/>
        </w:rPr>
        <w:t>w</w:t>
      </w:r>
      <w:r>
        <w:rPr>
          <w:color w:val="000000"/>
          <w:u w:color="000000"/>
        </w:rPr>
        <w:t>ykonawca ma obowiązek wykonania zaleceń wynikających z wyników ww. badań w terminie wskazanym przez Zamawiającego. Za każdy dzień zwłoki w wykonaniu zaleceń wynikających z wyników badan specjalistycznych określających stabilność drzewa - 200 zł</w:t>
      </w:r>
      <w:r>
        <w:rPr>
          <w:color w:val="000000"/>
          <w:u w:color="000000"/>
        </w:rPr>
        <w:t>;</w:t>
      </w:r>
    </w:p>
    <w:p w14:paraId="26F65E86" w14:textId="77777777" w:rsidR="001771A2" w:rsidRDefault="00D9625D">
      <w:pPr>
        <w:keepLines/>
        <w:spacing w:before="120" w:after="120"/>
        <w:ind w:left="340" w:hanging="227"/>
        <w:rPr>
          <w:color w:val="000000"/>
        </w:rPr>
      </w:pPr>
      <w:r>
        <w:t>9</w:t>
      </w:r>
      <w:r>
        <w:t>) </w:t>
      </w:r>
      <w:r>
        <w:rPr>
          <w:color w:val="000000"/>
          <w:u w:color="000000"/>
        </w:rPr>
        <w:t>z</w:t>
      </w:r>
      <w:r>
        <w:rPr>
          <w:color w:val="000000"/>
          <w:u w:color="000000"/>
        </w:rPr>
        <w:t>a każde uszkodzenie pnia lub gałęzi o średnicy powyżej 10 cm w miejscu uszkodzenia – 2000 zł</w:t>
      </w:r>
      <w:r>
        <w:rPr>
          <w:color w:val="000000"/>
          <w:u w:color="000000"/>
        </w:rPr>
        <w:t>;</w:t>
      </w:r>
    </w:p>
    <w:p w14:paraId="54951258" w14:textId="77777777" w:rsidR="001771A2" w:rsidRDefault="00D9625D">
      <w:pPr>
        <w:keepLines/>
        <w:spacing w:before="120" w:after="120"/>
        <w:ind w:left="340" w:hanging="227"/>
        <w:rPr>
          <w:color w:val="000000"/>
        </w:rPr>
      </w:pPr>
      <w:r>
        <w:t>1</w:t>
      </w:r>
      <w:r>
        <w:t>0</w:t>
      </w:r>
      <w:r>
        <w:t>) </w:t>
      </w:r>
      <w:r>
        <w:t>z</w:t>
      </w:r>
      <w:r>
        <w:rPr>
          <w:color w:val="000000"/>
          <w:u w:color="000000"/>
        </w:rPr>
        <w:t>a zmianę poziomu gruntu w SOD:</w:t>
      </w:r>
    </w:p>
    <w:p w14:paraId="75EDA7BC" w14:textId="77777777" w:rsidR="001771A2" w:rsidRDefault="00D9625D">
      <w:pPr>
        <w:keepLines/>
        <w:spacing w:before="120" w:after="120"/>
        <w:ind w:left="567" w:hanging="113"/>
        <w:rPr>
          <w:color w:val="000000"/>
        </w:rPr>
      </w:pPr>
      <w:r>
        <w:t>a)</w:t>
      </w:r>
      <w:r>
        <w:t> </w:t>
      </w:r>
      <w:r>
        <w:rPr>
          <w:color w:val="000000"/>
          <w:u w:color="000000"/>
        </w:rPr>
        <w:t>1000 zł za każde stwierdzenie naruszenia w strefie SOD</w:t>
      </w:r>
      <w:r>
        <w:rPr>
          <w:color w:val="000000"/>
          <w:u w:color="000000"/>
        </w:rPr>
        <w:t>,</w:t>
      </w:r>
    </w:p>
    <w:p w14:paraId="3948DB79" w14:textId="77777777" w:rsidR="001771A2" w:rsidRDefault="00D9625D">
      <w:pPr>
        <w:keepLines/>
        <w:spacing w:before="120" w:after="120"/>
        <w:ind w:left="567" w:hanging="113"/>
        <w:rPr>
          <w:color w:val="000000"/>
        </w:rPr>
      </w:pPr>
      <w:r>
        <w:t>b)</w:t>
      </w:r>
      <w:r>
        <w:t> </w:t>
      </w:r>
      <w:r>
        <w:rPr>
          <w:color w:val="000000"/>
          <w:u w:color="000000"/>
        </w:rPr>
        <w:t>100 zł za każdy dzień zwłoki w usunięciu naruszenia, liczone dla każdego przypadku osobno</w:t>
      </w:r>
      <w:r>
        <w:rPr>
          <w:color w:val="000000"/>
          <w:u w:color="000000"/>
        </w:rPr>
        <w:t>;</w:t>
      </w:r>
    </w:p>
    <w:p w14:paraId="3B187451" w14:textId="77777777" w:rsidR="001771A2" w:rsidRDefault="00D9625D">
      <w:pPr>
        <w:keepLines/>
        <w:spacing w:before="120" w:after="120"/>
        <w:ind w:left="340" w:hanging="227"/>
        <w:rPr>
          <w:color w:val="000000"/>
          <w:u w:color="000000"/>
        </w:rPr>
      </w:pPr>
      <w:r>
        <w:t>11</w:t>
      </w:r>
      <w:r>
        <w:t>) </w:t>
      </w:r>
      <w:r>
        <w:t>z</w:t>
      </w:r>
      <w:r>
        <w:rPr>
          <w:color w:val="000000"/>
          <w:u w:color="000000"/>
        </w:rPr>
        <w:t>a uszkodzenie korzeni w SOD:</w:t>
      </w:r>
    </w:p>
    <w:p w14:paraId="34332C94" w14:textId="77777777" w:rsidR="001771A2" w:rsidRDefault="00D9625D">
      <w:pPr>
        <w:keepLines/>
        <w:spacing w:before="120" w:after="120"/>
        <w:ind w:left="567" w:hanging="113"/>
        <w:rPr>
          <w:color w:val="000000"/>
          <w:u w:color="000000"/>
        </w:rPr>
      </w:pPr>
      <w:r>
        <w:t>a)</w:t>
      </w:r>
      <w:r>
        <w:t> </w:t>
      </w:r>
      <w:r>
        <w:rPr>
          <w:color w:val="000000"/>
          <w:u w:color="000000"/>
        </w:rPr>
        <w:t>500 zł za każde uszkodzenie korzenia o średnicy w miejscu uszkodzenia od 2 do 5 cm</w:t>
      </w:r>
      <w:r>
        <w:rPr>
          <w:color w:val="000000"/>
          <w:u w:color="000000"/>
        </w:rPr>
        <w:t>,</w:t>
      </w:r>
    </w:p>
    <w:p w14:paraId="2A420BD9" w14:textId="77777777" w:rsidR="001771A2" w:rsidRDefault="00D9625D">
      <w:pPr>
        <w:keepLines/>
        <w:spacing w:before="120" w:after="120"/>
        <w:ind w:left="567" w:hanging="113"/>
        <w:rPr>
          <w:color w:val="000000"/>
          <w:u w:color="000000"/>
        </w:rPr>
      </w:pPr>
      <w:r>
        <w:t>b)</w:t>
      </w:r>
      <w:r>
        <w:t> </w:t>
      </w:r>
      <w:r>
        <w:rPr>
          <w:color w:val="000000"/>
          <w:u w:color="000000"/>
        </w:rPr>
        <w:t>1000 zł za każde uszkodzenie korzenia o średnicy w miejscu uszkodzenia powyżej 5 cm</w:t>
      </w:r>
      <w:r>
        <w:rPr>
          <w:color w:val="000000"/>
          <w:u w:color="000000"/>
        </w:rPr>
        <w:t>.</w:t>
      </w:r>
    </w:p>
    <w:p w14:paraId="42CD54C1" w14:textId="77777777" w:rsidR="001771A2" w:rsidRDefault="00D9625D">
      <w:pPr>
        <w:keepLines/>
        <w:spacing w:before="120" w:after="120"/>
        <w:ind w:left="340" w:hanging="227"/>
        <w:rPr>
          <w:color w:val="000000"/>
          <w:u w:color="000000"/>
        </w:rPr>
      </w:pPr>
      <w:r>
        <w:rPr>
          <w:color w:val="000000"/>
          <w:u w:color="000000"/>
        </w:rPr>
        <w:t xml:space="preserve">2. Dopuszcza się odstępstwo od stosowania ust. 1 pkt. 11 </w:t>
      </w:r>
      <w:r>
        <w:t>w przypadku braku możliwości zastosowania rozwiązań alternatywnych oraz przy zachowaniu następującej procedury:</w:t>
      </w:r>
    </w:p>
    <w:p w14:paraId="5A39508B" w14:textId="77777777" w:rsidR="001771A2" w:rsidRDefault="00D9625D">
      <w:pPr>
        <w:keepLines/>
        <w:spacing w:before="120" w:after="120"/>
        <w:ind w:left="567" w:hanging="227"/>
        <w:rPr>
          <w:color w:val="000000"/>
          <w:u w:color="000000"/>
        </w:rPr>
      </w:pPr>
      <w:r>
        <w:t>1</w:t>
      </w:r>
      <w:r>
        <w:t>) </w:t>
      </w:r>
      <w:r>
        <w:rPr>
          <w:color w:val="000000"/>
          <w:u w:color="000000"/>
        </w:rPr>
        <w:t>w</w:t>
      </w:r>
      <w:r>
        <w:rPr>
          <w:color w:val="000000"/>
          <w:u w:color="000000"/>
        </w:rPr>
        <w:t>ykonawca/Inspektor nadzoru w zakresie ochrony zieleni ze strony wykonawcy musi zwrócić się z pisemnym wnioskiem do inwestora/zamawiającego, uzasadniając brak możliwości zastosowania rozwiązań alternatywnych;</w:t>
      </w:r>
    </w:p>
    <w:p w14:paraId="63D3DBEE" w14:textId="77777777" w:rsidR="001771A2" w:rsidRDefault="00D9625D">
      <w:pPr>
        <w:keepLines/>
        <w:spacing w:before="120" w:after="120"/>
        <w:ind w:left="567" w:hanging="227"/>
        <w:rPr>
          <w:color w:val="000000"/>
          <w:u w:color="000000"/>
        </w:rPr>
      </w:pPr>
      <w:r>
        <w:t>2</w:t>
      </w:r>
      <w:r>
        <w:t>) </w:t>
      </w:r>
      <w:r>
        <w:rPr>
          <w:color w:val="000000"/>
          <w:u w:color="000000"/>
        </w:rPr>
        <w:t>w</w:t>
      </w:r>
      <w:r>
        <w:rPr>
          <w:color w:val="000000"/>
          <w:u w:color="000000"/>
        </w:rPr>
        <w:t>e wniosku musi być zawarty program naprawczy, który zostanie wdrożony natychmiast po uszkodzeniu korzeni;</w:t>
      </w:r>
    </w:p>
    <w:p w14:paraId="51A927D4" w14:textId="77777777" w:rsidR="001771A2" w:rsidRDefault="00D9625D">
      <w:pPr>
        <w:keepLines/>
        <w:spacing w:before="120" w:after="120"/>
        <w:ind w:left="567" w:hanging="227"/>
        <w:rPr>
          <w:color w:val="000000"/>
          <w:u w:color="000000"/>
        </w:rPr>
      </w:pPr>
      <w:r>
        <w:t>3</w:t>
      </w:r>
      <w:r>
        <w:t>) </w:t>
      </w:r>
      <w:r>
        <w:rPr>
          <w:color w:val="000000"/>
          <w:u w:color="000000"/>
        </w:rPr>
        <w:t>w</w:t>
      </w:r>
      <w:r>
        <w:rPr>
          <w:color w:val="000000"/>
          <w:u w:color="000000"/>
        </w:rPr>
        <w:t>niosek wraz z programem naprawczym musi zostać zaakceptowany przez zamawiającego/inspektora nadzoru w zakresie ochrony zieleni zamawiającego/inwestora.</w:t>
      </w:r>
    </w:p>
    <w:p w14:paraId="6169DF35" w14:textId="77777777" w:rsidR="001771A2" w:rsidRDefault="00D9625D">
      <w:pPr>
        <w:keepNext/>
        <w:keepLines/>
        <w:spacing w:line="360" w:lineRule="auto"/>
        <w:jc w:val="center"/>
        <w:rPr>
          <w:color w:val="000000"/>
          <w:u w:color="000000"/>
        </w:rPr>
      </w:pPr>
      <w:r>
        <w:rPr>
          <w:b/>
        </w:rPr>
        <w:t>Rozdział 5.</w:t>
      </w:r>
      <w:r>
        <w:rPr>
          <w:color w:val="000000"/>
          <w:u w:color="000000"/>
        </w:rPr>
        <w:br/>
      </w:r>
      <w:r>
        <w:rPr>
          <w:b/>
          <w:color w:val="000000"/>
          <w:u w:color="000000"/>
        </w:rPr>
        <w:t>Inwentaryzacja drzew i innych form zieleni</w:t>
      </w:r>
    </w:p>
    <w:p w14:paraId="35A4E360" w14:textId="77777777" w:rsidR="001771A2" w:rsidRDefault="00D9625D">
      <w:pPr>
        <w:keepLines/>
        <w:spacing w:before="120" w:after="120"/>
        <w:ind w:firstLine="340"/>
        <w:rPr>
          <w:color w:val="000000"/>
          <w:u w:color="000000"/>
        </w:rPr>
      </w:pPr>
      <w:r>
        <w:rPr>
          <w:b/>
        </w:rPr>
        <w:t>§ 1</w:t>
      </w:r>
      <w:r>
        <w:rPr>
          <w:b/>
        </w:rPr>
        <w:t>1</w:t>
      </w:r>
      <w:r>
        <w:rPr>
          <w:b/>
        </w:rPr>
        <w:t>. </w:t>
      </w:r>
      <w:r>
        <w:rPr>
          <w:color w:val="000000"/>
          <w:u w:color="000000"/>
        </w:rPr>
        <w:t xml:space="preserve">Zobowiązuje się Dyrektora Gdańskiego Zarządu Dróg i </w:t>
      </w:r>
      <w:r>
        <w:rPr>
          <w:color w:val="000000"/>
          <w:u w:color="000000"/>
        </w:rPr>
        <w:t>Zieleni w uzgodnieniu z Wydziałem Geodezji Urzędu Miejskiego w Gdańsku do pozyskania cyfrowej mapy drzew dla terenu Gdańska oraz cyfrowej mapy zasobów krzewów i zieleni niskiej dla gruntów Gminy Miasta Gdańska.</w:t>
      </w:r>
    </w:p>
    <w:p w14:paraId="11B39BAA" w14:textId="77777777" w:rsidR="001771A2" w:rsidRDefault="00D9625D">
      <w:pPr>
        <w:keepLines/>
        <w:spacing w:before="120" w:after="120"/>
        <w:ind w:firstLine="340"/>
        <w:rPr>
          <w:color w:val="000000"/>
          <w:u w:color="000000"/>
        </w:rPr>
      </w:pPr>
      <w:r>
        <w:rPr>
          <w:b/>
        </w:rPr>
        <w:t>§ 1</w:t>
      </w:r>
      <w:r>
        <w:rPr>
          <w:b/>
        </w:rPr>
        <w:t>2</w:t>
      </w:r>
      <w:r>
        <w:rPr>
          <w:b/>
        </w:rPr>
        <w:t>. </w:t>
      </w:r>
      <w:r>
        <w:rPr>
          <w:color w:val="000000"/>
          <w:u w:color="000000"/>
        </w:rPr>
        <w:t xml:space="preserve">Zobowiązuje się Dyrektorów jednostek wymienionych w § 2, którzy zarządzają terenami zielonymi, w szczególności Dyrektorów Gdańskiego Zarządu Dróg i Zieleni, Gdańskich Nieruchomości, Gdańskiego Ośrodka Sportu oraz </w:t>
      </w:r>
      <w:proofErr w:type="spellStart"/>
      <w:r>
        <w:rPr>
          <w:color w:val="000000"/>
          <w:u w:color="000000"/>
        </w:rPr>
        <w:t>Hevelianum</w:t>
      </w:r>
      <w:proofErr w:type="spellEnd"/>
      <w:r>
        <w:rPr>
          <w:color w:val="000000"/>
          <w:u w:color="000000"/>
        </w:rPr>
        <w:t>, w oparciu o materiały określone w § 1</w:t>
      </w:r>
      <w:r>
        <w:rPr>
          <w:color w:val="000000"/>
          <w:u w:color="000000"/>
        </w:rPr>
        <w:t>1</w:t>
      </w:r>
      <w:r>
        <w:rPr>
          <w:color w:val="000000"/>
          <w:u w:color="000000"/>
        </w:rPr>
        <w:t xml:space="preserve">, </w:t>
      </w:r>
      <w:r>
        <w:rPr>
          <w:color w:val="000000"/>
          <w:u w:color="000000"/>
        </w:rPr>
        <w:t xml:space="preserve">do </w:t>
      </w:r>
      <w:r>
        <w:rPr>
          <w:color w:val="000000"/>
          <w:u w:color="000000"/>
        </w:rPr>
        <w:t>przeprowadz</w:t>
      </w:r>
      <w:r>
        <w:rPr>
          <w:color w:val="000000"/>
          <w:u w:color="000000"/>
        </w:rPr>
        <w:t>enia</w:t>
      </w:r>
      <w:r>
        <w:rPr>
          <w:color w:val="000000"/>
          <w:u w:color="000000"/>
        </w:rPr>
        <w:t xml:space="preserve"> inwentaryzacj</w:t>
      </w:r>
      <w:r>
        <w:rPr>
          <w:color w:val="000000"/>
          <w:u w:color="000000"/>
        </w:rPr>
        <w:t>i</w:t>
      </w:r>
      <w:r>
        <w:rPr>
          <w:color w:val="000000"/>
          <w:u w:color="000000"/>
        </w:rPr>
        <w:t xml:space="preserve"> administrowanych lub zarządzanych terenów zadrzewionych i z zielenią urządzoną, pod kątem jednostek odpowiedzialnych za administrowanie lub zarządzanie nimi oraz wprowadz</w:t>
      </w:r>
      <w:r>
        <w:rPr>
          <w:color w:val="000000"/>
          <w:u w:color="000000"/>
        </w:rPr>
        <w:t>enia</w:t>
      </w:r>
      <w:r>
        <w:rPr>
          <w:color w:val="000000"/>
          <w:u w:color="000000"/>
        </w:rPr>
        <w:t xml:space="preserve"> uzyskan</w:t>
      </w:r>
      <w:r>
        <w:rPr>
          <w:color w:val="000000"/>
          <w:u w:color="000000"/>
        </w:rPr>
        <w:t>ych</w:t>
      </w:r>
      <w:r>
        <w:rPr>
          <w:color w:val="000000"/>
          <w:u w:color="000000"/>
        </w:rPr>
        <w:t xml:space="preserve"> informacj</w:t>
      </w:r>
      <w:r>
        <w:rPr>
          <w:color w:val="000000"/>
          <w:u w:color="000000"/>
        </w:rPr>
        <w:t>i</w:t>
      </w:r>
      <w:r>
        <w:rPr>
          <w:color w:val="000000"/>
          <w:u w:color="000000"/>
        </w:rPr>
        <w:t xml:space="preserve"> w formie mapowej do systemu </w:t>
      </w:r>
      <w:proofErr w:type="spellStart"/>
      <w:r>
        <w:rPr>
          <w:color w:val="000000"/>
          <w:u w:color="000000"/>
        </w:rPr>
        <w:t>GeoGdańsk</w:t>
      </w:r>
      <w:proofErr w:type="spellEnd"/>
      <w:r>
        <w:rPr>
          <w:color w:val="000000"/>
          <w:u w:color="000000"/>
        </w:rPr>
        <w:t>.</w:t>
      </w:r>
    </w:p>
    <w:p w14:paraId="32678EAB" w14:textId="77777777" w:rsidR="001771A2" w:rsidRDefault="00D9625D">
      <w:pPr>
        <w:keepLines/>
        <w:spacing w:before="120" w:after="120"/>
        <w:ind w:firstLine="340"/>
        <w:rPr>
          <w:color w:val="000000"/>
          <w:u w:color="000000"/>
        </w:rPr>
      </w:pPr>
      <w:r>
        <w:rPr>
          <w:b/>
        </w:rPr>
        <w:t>§ 1</w:t>
      </w:r>
      <w:r>
        <w:rPr>
          <w:b/>
        </w:rPr>
        <w:t>3</w:t>
      </w:r>
      <w:r>
        <w:rPr>
          <w:b/>
        </w:rPr>
        <w:t>. </w:t>
      </w:r>
      <w:r>
        <w:rPr>
          <w:color w:val="000000"/>
          <w:u w:color="000000"/>
        </w:rPr>
        <w:t xml:space="preserve">Zobowiązuje się Dyrektora Gdańskiego Zarządu Dróg i Zieleni do nabicia tabliczek identyfikacyjnych (tzw. </w:t>
      </w:r>
      <w:proofErr w:type="spellStart"/>
      <w:r>
        <w:rPr>
          <w:color w:val="000000"/>
          <w:u w:color="000000"/>
        </w:rPr>
        <w:t>arbotagów</w:t>
      </w:r>
      <w:proofErr w:type="spellEnd"/>
      <w:r>
        <w:rPr>
          <w:color w:val="000000"/>
          <w:u w:color="000000"/>
        </w:rPr>
        <w:t xml:space="preserve">) dla minimum 5 tysięcy drzew rocznie, przy czym dla pierwszych 5 tysięcy drzew - w okresie 18 miesięcy od dnia wejścia w życie zarządzenia. W przypadku oznaczania drzew </w:t>
      </w:r>
      <w:proofErr w:type="spellStart"/>
      <w:r>
        <w:rPr>
          <w:color w:val="000000"/>
          <w:u w:color="000000"/>
        </w:rPr>
        <w:t>arbotagami</w:t>
      </w:r>
      <w:proofErr w:type="spellEnd"/>
      <w:r>
        <w:rPr>
          <w:color w:val="000000"/>
          <w:u w:color="000000"/>
        </w:rPr>
        <w:t xml:space="preserve"> przez inne jednostki organizacyjne Gminy Miasta Gdańska, wymienione w § 2, konieczne jest uzgodnienie przez nie z Gdańskim Zarządem Dróg i Zieleni wzoru tabliczki, jej numeracji i oznaczenia.</w:t>
      </w:r>
    </w:p>
    <w:p w14:paraId="49D8FBA7" w14:textId="77777777" w:rsidR="001771A2" w:rsidRDefault="00D9625D">
      <w:pPr>
        <w:keepLines/>
        <w:spacing w:before="120" w:after="120"/>
        <w:ind w:firstLine="340"/>
        <w:rPr>
          <w:color w:val="000000"/>
          <w:u w:color="000000"/>
        </w:rPr>
      </w:pPr>
      <w:r>
        <w:rPr>
          <w:b/>
        </w:rPr>
        <w:t>§ 1</w:t>
      </w:r>
      <w:r>
        <w:rPr>
          <w:b/>
        </w:rPr>
        <w:t>4</w:t>
      </w:r>
      <w:r>
        <w:rPr>
          <w:b/>
        </w:rPr>
        <w:t>. </w:t>
      </w:r>
      <w:r>
        <w:rPr>
          <w:color w:val="000000"/>
          <w:u w:color="000000"/>
        </w:rPr>
        <w:t>Zobowiązuje się wszystkie jednostki organizacyjne Gminy Miasta Gdańska, wymienione w § 2, realizujące inwestycje do sporządzania inwentaryzacji drzew tworzonych na potrzeby działań statutowych jednostek zgodnie ze Standardami i przekazywania sporządzanych inwentaryzacji w wersji cyfrowej do zasilenia bazy danych zieleni miejskiej, na którą składać się będą cyfrowe mapy drzew dla terenu Gdańska oraz cyfrowe mapy zasobów zieleni niskiej dla gruntów Gminy Miasta Gdańska.</w:t>
      </w:r>
    </w:p>
    <w:p w14:paraId="243B2517" w14:textId="77777777" w:rsidR="001771A2" w:rsidRDefault="00D9625D">
      <w:pPr>
        <w:keepLines/>
        <w:spacing w:before="120" w:after="120"/>
        <w:ind w:firstLine="340"/>
        <w:rPr>
          <w:color w:val="000000"/>
          <w:u w:color="000000"/>
        </w:rPr>
      </w:pPr>
      <w:r>
        <w:rPr>
          <w:b/>
        </w:rPr>
        <w:t>§ 1</w:t>
      </w:r>
      <w:r>
        <w:rPr>
          <w:b/>
        </w:rPr>
        <w:t>5</w:t>
      </w:r>
      <w:r>
        <w:rPr>
          <w:b/>
        </w:rPr>
        <w:t>. </w:t>
      </w:r>
      <w:r>
        <w:rPr>
          <w:color w:val="000000"/>
          <w:u w:color="000000"/>
        </w:rPr>
        <w:t>Zarządzanie bazą danych zieleni miejskiej powierza się</w:t>
      </w:r>
      <w:r>
        <w:rPr>
          <w:color w:val="000000"/>
          <w:u w:color="000000"/>
        </w:rPr>
        <w:t>:</w:t>
      </w:r>
    </w:p>
    <w:p w14:paraId="0C0A9AA8" w14:textId="77777777" w:rsidR="001771A2" w:rsidRDefault="00D9625D">
      <w:pPr>
        <w:keepLines/>
        <w:spacing w:before="120" w:after="120"/>
        <w:rPr>
          <w:color w:val="000000"/>
          <w:u w:color="000000"/>
        </w:rPr>
      </w:pPr>
      <w:r>
        <w:rPr>
          <w:color w:val="000000"/>
          <w:u w:color="000000"/>
        </w:rPr>
        <w:t>1)</w:t>
      </w:r>
      <w:r>
        <w:rPr>
          <w:color w:val="000000"/>
          <w:u w:color="000000"/>
        </w:rPr>
        <w:t xml:space="preserve"> Dyrektorowi Gdańskiego Zarządu Dróg i Zieleni - w zakresie merytorycznym</w:t>
      </w:r>
      <w:r>
        <w:rPr>
          <w:color w:val="000000"/>
          <w:u w:color="000000"/>
        </w:rPr>
        <w:t>;</w:t>
      </w:r>
    </w:p>
    <w:p w14:paraId="0DDBD475" w14:textId="77777777" w:rsidR="001771A2" w:rsidRDefault="00D9625D">
      <w:pPr>
        <w:keepLines/>
        <w:spacing w:before="120" w:after="120"/>
        <w:rPr>
          <w:color w:val="000000"/>
          <w:u w:color="000000"/>
        </w:rPr>
      </w:pPr>
      <w:r>
        <w:rPr>
          <w:color w:val="000000"/>
          <w:u w:color="000000"/>
        </w:rPr>
        <w:t>2) Dyrektorowi</w:t>
      </w:r>
      <w:r>
        <w:rPr>
          <w:color w:val="000000"/>
          <w:u w:color="000000"/>
        </w:rPr>
        <w:t xml:space="preserve"> Wydział</w:t>
      </w:r>
      <w:r>
        <w:rPr>
          <w:color w:val="000000"/>
          <w:u w:color="000000"/>
        </w:rPr>
        <w:t xml:space="preserve">u </w:t>
      </w:r>
      <w:r>
        <w:rPr>
          <w:color w:val="000000"/>
          <w:u w:color="000000"/>
        </w:rPr>
        <w:t>Geodezji Urzędu Miejskiego w Gdańsku - w zakresie standardu danych GIS</w:t>
      </w:r>
      <w:r>
        <w:rPr>
          <w:color w:val="000000"/>
          <w:u w:color="000000"/>
        </w:rPr>
        <w:t>;</w:t>
      </w:r>
    </w:p>
    <w:p w14:paraId="45725389" w14:textId="77777777" w:rsidR="001771A2" w:rsidRDefault="00D9625D">
      <w:pPr>
        <w:keepLines/>
        <w:spacing w:before="120" w:after="120"/>
        <w:rPr>
          <w:color w:val="000000"/>
          <w:u w:color="000000"/>
        </w:rPr>
      </w:pPr>
      <w:r>
        <w:rPr>
          <w:color w:val="000000"/>
          <w:u w:color="000000"/>
        </w:rPr>
        <w:t>3) Dyrektorowi</w:t>
      </w:r>
      <w:r>
        <w:rPr>
          <w:color w:val="000000"/>
          <w:u w:color="000000"/>
        </w:rPr>
        <w:t xml:space="preserve"> Gdańskie</w:t>
      </w:r>
      <w:r>
        <w:rPr>
          <w:color w:val="000000"/>
          <w:u w:color="000000"/>
        </w:rPr>
        <w:t>go</w:t>
      </w:r>
      <w:r>
        <w:rPr>
          <w:color w:val="000000"/>
          <w:u w:color="000000"/>
        </w:rPr>
        <w:t xml:space="preserve"> Centrum Informatyczne</w:t>
      </w:r>
      <w:r>
        <w:rPr>
          <w:color w:val="000000"/>
          <w:u w:color="000000"/>
        </w:rPr>
        <w:t>go</w:t>
      </w:r>
      <w:r>
        <w:rPr>
          <w:color w:val="000000"/>
          <w:u w:color="000000"/>
        </w:rPr>
        <w:t xml:space="preserve"> -  w zakresie administracji i utrzymania środowiska IT systemu </w:t>
      </w:r>
      <w:proofErr w:type="spellStart"/>
      <w:r>
        <w:rPr>
          <w:color w:val="000000"/>
          <w:u w:color="000000"/>
        </w:rPr>
        <w:t>GeoGdańsk</w:t>
      </w:r>
      <w:proofErr w:type="spellEnd"/>
      <w:r>
        <w:rPr>
          <w:color w:val="000000"/>
          <w:u w:color="000000"/>
        </w:rPr>
        <w:t>.</w:t>
      </w:r>
    </w:p>
    <w:p w14:paraId="4DFB901A" w14:textId="77777777" w:rsidR="001771A2" w:rsidRDefault="00D9625D">
      <w:pPr>
        <w:keepNext/>
        <w:keepLines/>
        <w:spacing w:line="360" w:lineRule="auto"/>
        <w:jc w:val="center"/>
        <w:rPr>
          <w:color w:val="000000"/>
          <w:u w:color="000000"/>
        </w:rPr>
      </w:pPr>
      <w:r>
        <w:rPr>
          <w:b/>
        </w:rPr>
        <w:lastRenderedPageBreak/>
        <w:t>Rozdział 6.</w:t>
      </w:r>
      <w:r>
        <w:rPr>
          <w:color w:val="000000"/>
          <w:u w:color="000000"/>
        </w:rPr>
        <w:br/>
      </w:r>
      <w:r>
        <w:rPr>
          <w:b/>
          <w:color w:val="000000"/>
          <w:u w:color="000000"/>
        </w:rPr>
        <w:t>Komunikacja z mieszkańcami</w:t>
      </w:r>
    </w:p>
    <w:p w14:paraId="46D40D69" w14:textId="77777777" w:rsidR="001771A2" w:rsidRDefault="00D9625D">
      <w:pPr>
        <w:keepLines/>
        <w:spacing w:before="120" w:after="120"/>
        <w:ind w:firstLine="340"/>
        <w:rPr>
          <w:color w:val="000000"/>
          <w:u w:color="000000"/>
        </w:rPr>
      </w:pPr>
      <w:r>
        <w:rPr>
          <w:b/>
        </w:rPr>
        <w:t>§ 1</w:t>
      </w:r>
      <w:r>
        <w:rPr>
          <w:b/>
        </w:rPr>
        <w:t>6</w:t>
      </w:r>
      <w:r>
        <w:rPr>
          <w:b/>
        </w:rPr>
        <w:t>. </w:t>
      </w:r>
      <w:r>
        <w:rPr>
          <w:color w:val="000000"/>
          <w:u w:color="000000"/>
        </w:rPr>
        <w:t>Zobowiązuje się Dyrektora Gdańskiego Zarządu Dróg i Zieleni do:</w:t>
      </w:r>
    </w:p>
    <w:p w14:paraId="5013586D" w14:textId="77777777" w:rsidR="001771A2" w:rsidRDefault="00D9625D">
      <w:pPr>
        <w:keepLines/>
        <w:spacing w:before="120" w:after="120"/>
        <w:ind w:left="340" w:hanging="227"/>
        <w:rPr>
          <w:color w:val="000000"/>
          <w:u w:color="000000"/>
        </w:rPr>
      </w:pPr>
      <w:r>
        <w:t>1) </w:t>
      </w:r>
      <w:r>
        <w:rPr>
          <w:color w:val="000000"/>
          <w:u w:color="000000"/>
        </w:rPr>
        <w:t xml:space="preserve">przygotowania w porozumieniu z Biurem ds. Rad Dzielnic i Współpracy z Mieszkańcami Urzędu Miejskiego w </w:t>
      </w:r>
      <w:r>
        <w:rPr>
          <w:color w:val="000000"/>
          <w:u w:color="000000"/>
        </w:rPr>
        <w:t>Gdańsku w terminie 6 miesięcy od dnia wejścia w życie niniejszego zarządzenia, projektu zarządzenia Prezydenta Miasta Gdańska w sprawie powołania Społecznej Rady ds. Drzew;</w:t>
      </w:r>
    </w:p>
    <w:p w14:paraId="11341AED" w14:textId="77777777" w:rsidR="001771A2" w:rsidRDefault="00D9625D">
      <w:pPr>
        <w:keepLines/>
        <w:spacing w:before="120" w:after="120"/>
        <w:ind w:left="340" w:hanging="227"/>
        <w:rPr>
          <w:color w:val="000000"/>
          <w:u w:color="000000"/>
        </w:rPr>
      </w:pPr>
      <w:r>
        <w:t>2) </w:t>
      </w:r>
      <w:r>
        <w:rPr>
          <w:color w:val="000000"/>
          <w:u w:color="000000"/>
        </w:rPr>
        <w:t xml:space="preserve">przygotowania w porozumieniu z Dyrektorem </w:t>
      </w:r>
      <w:proofErr w:type="spellStart"/>
      <w:r>
        <w:rPr>
          <w:color w:val="000000"/>
          <w:u w:color="000000"/>
        </w:rPr>
        <w:t>Hevelianum</w:t>
      </w:r>
      <w:proofErr w:type="spellEnd"/>
      <w:r>
        <w:rPr>
          <w:color w:val="000000"/>
          <w:u w:color="000000"/>
        </w:rPr>
        <w:t xml:space="preserve"> - ulotki informacyjnej dla mieszkańców i inwestorów oraz książeczki dla dzieci, które w przystępny sposób przybliżą informacje związane z drzewami i ich ochroną;</w:t>
      </w:r>
    </w:p>
    <w:p w14:paraId="16F9BAF6" w14:textId="77777777" w:rsidR="001771A2" w:rsidRDefault="00D9625D">
      <w:pPr>
        <w:keepLines/>
        <w:spacing w:before="120" w:after="120"/>
        <w:ind w:left="340" w:hanging="227"/>
        <w:rPr>
          <w:color w:val="000000"/>
          <w:u w:color="000000"/>
        </w:rPr>
      </w:pPr>
      <w:r>
        <w:t>3) </w:t>
      </w:r>
      <w:r>
        <w:rPr>
          <w:color w:val="000000"/>
          <w:u w:color="000000"/>
        </w:rPr>
        <w:t>przystąpienia do opracowania, w ciągu 12 miesięcy od wejścia w życie niniejszego zarządzenia, poradnika projektowania Budżetu Obywatelskiego (BO) i Zielonego Budżetu Obywatelskiego (ZBO) z poszanowaniem zieleni.</w:t>
      </w:r>
    </w:p>
    <w:p w14:paraId="05862013" w14:textId="77777777" w:rsidR="001771A2" w:rsidRDefault="00D9625D">
      <w:pPr>
        <w:keepLines/>
        <w:spacing w:before="120" w:after="120"/>
        <w:ind w:firstLine="340"/>
        <w:rPr>
          <w:color w:val="000000"/>
          <w:u w:color="000000"/>
        </w:rPr>
      </w:pPr>
      <w:r>
        <w:rPr>
          <w:b/>
        </w:rPr>
        <w:t>§ 1</w:t>
      </w:r>
      <w:r>
        <w:rPr>
          <w:b/>
        </w:rPr>
        <w:t>7</w:t>
      </w:r>
      <w:r>
        <w:rPr>
          <w:b/>
        </w:rPr>
        <w:t>. </w:t>
      </w:r>
      <w:r>
        <w:rPr>
          <w:color w:val="000000"/>
          <w:u w:color="000000"/>
        </w:rPr>
        <w:t>Zobowiązuje się:</w:t>
      </w:r>
    </w:p>
    <w:p w14:paraId="05892EEE" w14:textId="77777777" w:rsidR="001771A2" w:rsidRDefault="00D9625D">
      <w:pPr>
        <w:keepLines/>
        <w:spacing w:before="120" w:after="120"/>
        <w:ind w:left="340" w:hanging="227"/>
        <w:rPr>
          <w:color w:val="000000"/>
          <w:u w:color="000000"/>
        </w:rPr>
      </w:pPr>
      <w:r>
        <w:t>1) </w:t>
      </w:r>
      <w:r>
        <w:rPr>
          <w:color w:val="000000"/>
          <w:u w:color="000000"/>
        </w:rPr>
        <w:t>Biuro ds. Rad Dzielnic i Współpracy z Mieszkańcami Urzędu Miejskiego w Gdańsku do przystąpienia do ewaluacji regulaminu BO i ZBO oraz wprowadzenia zmian do oceny projektów pod kątem ich wpływu na zieleń, w tym oceny czy ich realizacja zwiększy bądź zmniejszy różnorodność biologiczną (bioróżnorodność) i powierzchnię biologicznie czynną, lub wpłynie na pogorszenie stosunków wodnych;</w:t>
      </w:r>
    </w:p>
    <w:p w14:paraId="7ADA1283" w14:textId="77777777" w:rsidR="001771A2" w:rsidRDefault="00D9625D">
      <w:pPr>
        <w:keepLines/>
        <w:spacing w:before="120" w:after="120"/>
        <w:ind w:left="340" w:hanging="227"/>
        <w:rPr>
          <w:color w:val="000000"/>
          <w:u w:color="000000"/>
        </w:rPr>
      </w:pPr>
      <w:r>
        <w:t>2) </w:t>
      </w:r>
      <w:r>
        <w:rPr>
          <w:color w:val="000000"/>
          <w:u w:color="000000"/>
        </w:rPr>
        <w:t xml:space="preserve">Wydział Ekologii i Energetyki Urzędu Miejskiego w Gdańsku do przystąpienia do opracowania czytelnego sposobu komunikowania mieszkańcom planowanych wycinek drzew i krzewów na portalu </w:t>
      </w:r>
      <w:proofErr w:type="spellStart"/>
      <w:r>
        <w:rPr>
          <w:color w:val="000000"/>
          <w:u w:color="000000"/>
        </w:rPr>
        <w:t>GeoGdańsk</w:t>
      </w:r>
      <w:proofErr w:type="spellEnd"/>
      <w:r>
        <w:rPr>
          <w:color w:val="000000"/>
          <w:u w:color="000000"/>
        </w:rPr>
        <w:t>;</w:t>
      </w:r>
    </w:p>
    <w:p w14:paraId="1B051252" w14:textId="77777777" w:rsidR="001771A2" w:rsidRDefault="00D9625D">
      <w:pPr>
        <w:keepLines/>
        <w:spacing w:before="120" w:after="120"/>
        <w:ind w:left="340" w:hanging="227"/>
        <w:rPr>
          <w:color w:val="000000"/>
          <w:u w:color="000000"/>
        </w:rPr>
      </w:pPr>
      <w:r>
        <w:t>3) </w:t>
      </w:r>
      <w:r>
        <w:rPr>
          <w:color w:val="000000"/>
          <w:u w:color="000000"/>
        </w:rPr>
        <w:t>wszystkie jednostki organizacyjne Gminy Miasta Gdańska, wymienione</w:t>
      </w:r>
      <w:r>
        <w:rPr>
          <w:color w:val="000000"/>
          <w:u w:color="000000"/>
        </w:rPr>
        <w:t xml:space="preserve"> </w:t>
      </w:r>
      <w:r>
        <w:rPr>
          <w:color w:val="000000"/>
          <w:u w:color="000000"/>
        </w:rPr>
        <w:t>w § 2, do publicznego informowania o planowanych wycinkach drzew i krzewów w ciągu 7 dni od momentu złożenia wniosku do właściwego organu administracji publicznej wydającego decyzje administracyjne zezwalające na usunięcie drzew lub krzewów poprzez udostępnienie skanu wniosku na stronie internetowej jednostki. Informacje te będą uzupełniane o skany decyzji administracyjnych w terminie 7 dni od ich uzyskania.</w:t>
      </w:r>
    </w:p>
    <w:p w14:paraId="2C9C8877" w14:textId="77777777" w:rsidR="001771A2" w:rsidRDefault="00D9625D">
      <w:pPr>
        <w:keepNext/>
        <w:keepLines/>
        <w:spacing w:line="360" w:lineRule="auto"/>
        <w:jc w:val="center"/>
        <w:rPr>
          <w:color w:val="000000"/>
          <w:u w:color="000000"/>
        </w:rPr>
      </w:pPr>
      <w:r>
        <w:rPr>
          <w:b/>
        </w:rPr>
        <w:t>Rozdział 7.</w:t>
      </w:r>
      <w:r>
        <w:rPr>
          <w:color w:val="000000"/>
          <w:u w:color="000000"/>
        </w:rPr>
        <w:br/>
      </w:r>
      <w:r>
        <w:rPr>
          <w:b/>
          <w:color w:val="000000"/>
          <w:u w:color="000000"/>
        </w:rPr>
        <w:t>Dostępność do zieleni</w:t>
      </w:r>
    </w:p>
    <w:p w14:paraId="0C2C0B4F" w14:textId="77777777" w:rsidR="001771A2" w:rsidRDefault="00D9625D">
      <w:pPr>
        <w:keepLines/>
        <w:spacing w:before="120" w:after="120"/>
        <w:ind w:firstLine="340"/>
        <w:rPr>
          <w:color w:val="000000"/>
          <w:u w:color="000000"/>
        </w:rPr>
      </w:pPr>
      <w:r>
        <w:rPr>
          <w:b/>
        </w:rPr>
        <w:t>§ 1</w:t>
      </w:r>
      <w:r>
        <w:rPr>
          <w:b/>
        </w:rPr>
        <w:t>8</w:t>
      </w:r>
      <w:r>
        <w:rPr>
          <w:b/>
        </w:rPr>
        <w:t>. </w:t>
      </w:r>
      <w:r>
        <w:rPr>
          <w:color w:val="000000"/>
          <w:u w:color="000000"/>
        </w:rPr>
        <w:t>Zobowiązuje się Dyrektora Biura Rozwoju Gdańska do przygotowania standardów dostępu do zieleni, w tym analizy obszarów objętych deficytem w dostępie do zieleni, celem poprawy dostępności zieleni dla mieszkańców. Wskazane obszary będą traktowane priorytetowo przy realizacji nowych terenów zieleni publicznej oraz poprawie jakości istniejącej zieleni poprzez nasadzenia drzew, krzewów i zieleni niskiej.</w:t>
      </w:r>
    </w:p>
    <w:p w14:paraId="10BA9385" w14:textId="77777777" w:rsidR="001771A2" w:rsidRDefault="00D9625D">
      <w:pPr>
        <w:keepLines/>
        <w:spacing w:before="120" w:after="120"/>
        <w:ind w:firstLine="340"/>
        <w:rPr>
          <w:color w:val="000000"/>
          <w:u w:color="000000"/>
        </w:rPr>
      </w:pPr>
      <w:r>
        <w:rPr>
          <w:b/>
        </w:rPr>
        <w:t>§ </w:t>
      </w:r>
      <w:r>
        <w:rPr>
          <w:b/>
        </w:rPr>
        <w:t>19</w:t>
      </w:r>
      <w:r>
        <w:rPr>
          <w:b/>
        </w:rPr>
        <w:t>. </w:t>
      </w:r>
      <w:r>
        <w:rPr>
          <w:color w:val="000000"/>
          <w:u w:color="000000"/>
        </w:rPr>
        <w:t>Zobowiązuje się Dyrektora Gdańskiego Zarządu Dróg i Zieleni do sukcesywnego opracowywania wieloletnich programów rewaloryzacji parków komunalnych na terenie miasta Gdańska, ze szczególnym uwzględnieniem parków zabytkowych oraz priorytetem ochrony drzew sędziwych i weterańskich, przy czym jako pierwszy należy opracować program rewaloryzacji Parku Oliwskiego im. Adama Mickiewicza.</w:t>
      </w:r>
    </w:p>
    <w:p w14:paraId="60BA032C" w14:textId="77777777" w:rsidR="001771A2" w:rsidRDefault="00D9625D">
      <w:pPr>
        <w:keepLines/>
        <w:spacing w:before="120" w:after="120"/>
        <w:ind w:firstLine="340"/>
        <w:rPr>
          <w:color w:val="000000"/>
          <w:u w:color="000000"/>
        </w:rPr>
      </w:pPr>
      <w:r>
        <w:rPr>
          <w:b/>
        </w:rPr>
        <w:t>§ 2</w:t>
      </w:r>
      <w:r>
        <w:rPr>
          <w:b/>
        </w:rPr>
        <w:t>0</w:t>
      </w:r>
      <w:r>
        <w:rPr>
          <w:b/>
        </w:rPr>
        <w:t>. </w:t>
      </w:r>
      <w:r>
        <w:rPr>
          <w:color w:val="000000"/>
          <w:u w:color="000000"/>
        </w:rPr>
        <w:t>W celu zwiększenia zadrzewienia miasta Gdańska, szczególnie w obszarach silnie zurbanizowanych, rocznie minimum 500 m</w:t>
      </w:r>
      <w:r>
        <w:rPr>
          <w:color w:val="000000"/>
          <w:u w:color="000000"/>
          <w:vertAlign w:val="superscript"/>
        </w:rPr>
        <w:t>2</w:t>
      </w:r>
      <w:r>
        <w:rPr>
          <w:color w:val="000000"/>
          <w:u w:color="000000"/>
        </w:rPr>
        <w:t xml:space="preserve"> terenu będzie </w:t>
      </w:r>
      <w:proofErr w:type="spellStart"/>
      <w:r>
        <w:rPr>
          <w:color w:val="000000"/>
          <w:u w:color="000000"/>
        </w:rPr>
        <w:t>rozbrukowywanych</w:t>
      </w:r>
      <w:proofErr w:type="spellEnd"/>
      <w:r>
        <w:rPr>
          <w:color w:val="000000"/>
          <w:u w:color="000000"/>
        </w:rPr>
        <w:t xml:space="preserve">, przy czym priorytetem przy tych działaniach będzie poprawa warunków życia istniejących drzew lub stworzenie przestrzeni pod nowe nasadzenia. </w:t>
      </w:r>
    </w:p>
    <w:p w14:paraId="5B188F1E" w14:textId="77777777" w:rsidR="001771A2" w:rsidRDefault="00D9625D">
      <w:pPr>
        <w:keepNext/>
        <w:keepLines/>
        <w:spacing w:line="360" w:lineRule="auto"/>
        <w:jc w:val="center"/>
        <w:rPr>
          <w:color w:val="000000"/>
          <w:u w:color="000000"/>
        </w:rPr>
      </w:pPr>
      <w:r>
        <w:rPr>
          <w:b/>
        </w:rPr>
        <w:lastRenderedPageBreak/>
        <w:t>Rozdział 8.</w:t>
      </w:r>
      <w:r>
        <w:rPr>
          <w:color w:val="000000"/>
          <w:u w:color="000000"/>
        </w:rPr>
        <w:br/>
      </w:r>
      <w:r>
        <w:rPr>
          <w:b/>
          <w:color w:val="000000"/>
          <w:u w:color="000000"/>
        </w:rPr>
        <w:t>Nasadzenia zastępcze</w:t>
      </w:r>
    </w:p>
    <w:p w14:paraId="58374D76" w14:textId="77777777" w:rsidR="001771A2" w:rsidRDefault="00D9625D">
      <w:pPr>
        <w:keepLines/>
        <w:spacing w:before="120" w:after="120"/>
        <w:ind w:firstLine="340"/>
        <w:rPr>
          <w:color w:val="000000"/>
          <w:u w:color="000000"/>
        </w:rPr>
      </w:pPr>
      <w:r>
        <w:rPr>
          <w:b/>
        </w:rPr>
        <w:t>§ 2</w:t>
      </w:r>
      <w:r>
        <w:rPr>
          <w:b/>
        </w:rPr>
        <w:t>1</w:t>
      </w:r>
      <w:r>
        <w:rPr>
          <w:b/>
        </w:rPr>
        <w:t>. </w:t>
      </w:r>
      <w:r>
        <w:rPr>
          <w:color w:val="000000"/>
          <w:u w:color="000000"/>
        </w:rPr>
        <w:t xml:space="preserve">W celu zapewnienia większej ilości zieleni na terenach inwestycji prywatnych, w tym deweloperskich, a także w celu zapewnienia kompensacji przyrodniczej w miejscu wycięcia drzew jednostki organizacyjne Gminy Miasta Gdańska, wymienione w § 2, nie mogą wyrażać zgody na dokonywanie </w:t>
      </w:r>
      <w:proofErr w:type="spellStart"/>
      <w:r>
        <w:rPr>
          <w:color w:val="000000"/>
          <w:u w:color="000000"/>
        </w:rPr>
        <w:t>nasadzeń</w:t>
      </w:r>
      <w:proofErr w:type="spellEnd"/>
      <w:r>
        <w:rPr>
          <w:color w:val="000000"/>
          <w:u w:color="000000"/>
        </w:rPr>
        <w:t xml:space="preserve"> zastępczych przez inwestorów prywatnych na terenach administrowanych przez te jednostki. W sytuacjach wyjątkowych nasadzenia zastępcze na tych terenach możliwe będą pod warunkiem uzyskania pozytywnej opinii komisji skład</w:t>
      </w:r>
      <w:r>
        <w:rPr>
          <w:color w:val="000000"/>
          <w:u w:color="000000"/>
        </w:rPr>
        <w:t xml:space="preserve">ającej się z przedstawicieli Gdańskiego Zarządu Dróg i Zieleni, Wydziału Ekologii i Energetyki Urzędu Miejskiego w Gdańsku, Biura Rozwoju Gdańska i przedstawiciela danej jednostki. Podmiot pragnący uzyskać takie odstępstwo będzie każdorazowo zwracać się z wnioskiem o rozpatrzenie sprawy do jednostki wiodącej, czyli utrzymującej teren, na którym dany podmiot proponuje zlokalizować swoje nasadzenia. Jeśli w opinii jednostki wiodącej dany teren ma potencjał do zlokalizowania ww. </w:t>
      </w:r>
      <w:proofErr w:type="spellStart"/>
      <w:r>
        <w:rPr>
          <w:color w:val="000000"/>
          <w:u w:color="000000"/>
        </w:rPr>
        <w:t>nasadzeń</w:t>
      </w:r>
      <w:proofErr w:type="spellEnd"/>
      <w:r>
        <w:rPr>
          <w:color w:val="000000"/>
          <w:u w:color="000000"/>
        </w:rPr>
        <w:t>, organizuje posiedzeni</w:t>
      </w:r>
      <w:r>
        <w:rPr>
          <w:color w:val="000000"/>
          <w:u w:color="000000"/>
        </w:rPr>
        <w:t>e komisji, która ocenia zasadność wniosku. Jednostka wiodąca wydaje opinię w ciągu 30 dni od otrzymania wniosku od podmiotu zewnętrznego.</w:t>
      </w:r>
    </w:p>
    <w:p w14:paraId="5CA3805B" w14:textId="77777777" w:rsidR="001771A2" w:rsidRDefault="00D9625D">
      <w:pPr>
        <w:keepLines/>
        <w:spacing w:before="120" w:after="120"/>
        <w:ind w:firstLine="340"/>
        <w:rPr>
          <w:color w:val="000000"/>
          <w:u w:color="000000"/>
        </w:rPr>
      </w:pPr>
      <w:r>
        <w:rPr>
          <w:b/>
        </w:rPr>
        <w:t>§ 2</w:t>
      </w:r>
      <w:r>
        <w:rPr>
          <w:b/>
        </w:rPr>
        <w:t>2</w:t>
      </w:r>
      <w:r>
        <w:rPr>
          <w:b/>
        </w:rPr>
        <w:t>. </w:t>
      </w:r>
      <w:r>
        <w:rPr>
          <w:color w:val="000000"/>
          <w:u w:color="000000"/>
        </w:rPr>
        <w:t xml:space="preserve">W celu zapewnienia wystarczającej przestrzeni pod nowe nasadzenia drzew w pasach drogowych dróg publicznych zobowiązuje się jednostki </w:t>
      </w:r>
      <w:r>
        <w:rPr>
          <w:color w:val="000000"/>
          <w:u w:color="000000"/>
        </w:rPr>
        <w:t xml:space="preserve">organizacyjne Gminy Miasta Gdańska, wymienione w § 2, do uzgadniania i projektowania sieci technicznych poza pasami zieleni lub z zastosowaniem rozwiązań technicznych chroniących projektowane sieci albo projektowanie sieci na głębokościach nie kolidujących z przyszłymi </w:t>
      </w:r>
      <w:proofErr w:type="spellStart"/>
      <w:r>
        <w:rPr>
          <w:color w:val="000000"/>
          <w:u w:color="000000"/>
        </w:rPr>
        <w:t>nasadzeniami</w:t>
      </w:r>
      <w:proofErr w:type="spellEnd"/>
      <w:r>
        <w:rPr>
          <w:color w:val="000000"/>
          <w:u w:color="000000"/>
        </w:rPr>
        <w:t xml:space="preserve"> drzew. W przypadku uzasadnionego braku możliwości poprowadzenia sieci technicznych poza pasem zieleni dopuszcza się w wyjątkowych przypadkach prowadzenie sieci w pasie zieleni w sposób umożliwiający wykonanie przyszłych </w:t>
      </w:r>
      <w:proofErr w:type="spellStart"/>
      <w:r>
        <w:rPr>
          <w:color w:val="000000"/>
          <w:u w:color="000000"/>
        </w:rPr>
        <w:t>nasadzeń</w:t>
      </w:r>
      <w:proofErr w:type="spellEnd"/>
      <w:r>
        <w:rPr>
          <w:color w:val="000000"/>
          <w:u w:color="000000"/>
        </w:rPr>
        <w:t>.</w:t>
      </w:r>
    </w:p>
    <w:p w14:paraId="078010C2" w14:textId="77777777" w:rsidR="001771A2" w:rsidRDefault="001771A2">
      <w:pPr>
        <w:keepLines/>
        <w:spacing w:before="120" w:after="120"/>
        <w:ind w:firstLine="340"/>
        <w:rPr>
          <w:color w:val="000000"/>
          <w:u w:color="000000"/>
        </w:rPr>
      </w:pPr>
    </w:p>
    <w:p w14:paraId="570F92F4" w14:textId="77777777" w:rsidR="001771A2" w:rsidRDefault="00D9625D">
      <w:pPr>
        <w:keepNext/>
        <w:keepLines/>
        <w:spacing w:line="360" w:lineRule="auto"/>
        <w:jc w:val="center"/>
        <w:rPr>
          <w:color w:val="000000"/>
          <w:u w:color="000000"/>
        </w:rPr>
      </w:pPr>
      <w:r>
        <w:rPr>
          <w:b/>
        </w:rPr>
        <w:t>Rozdział 9.</w:t>
      </w:r>
      <w:r>
        <w:rPr>
          <w:color w:val="000000"/>
          <w:u w:color="000000"/>
        </w:rPr>
        <w:br/>
      </w:r>
      <w:r>
        <w:rPr>
          <w:b/>
          <w:color w:val="000000"/>
          <w:u w:color="000000"/>
        </w:rPr>
        <w:t>Zimowe utrzymanie dróg</w:t>
      </w:r>
    </w:p>
    <w:p w14:paraId="0B85887D" w14:textId="77777777" w:rsidR="001771A2" w:rsidRDefault="00D9625D">
      <w:pPr>
        <w:keepLines/>
        <w:spacing w:before="120" w:after="120"/>
        <w:ind w:firstLine="340"/>
        <w:rPr>
          <w:color w:val="000000"/>
          <w:u w:color="000000"/>
        </w:rPr>
      </w:pPr>
      <w:r>
        <w:rPr>
          <w:b/>
        </w:rPr>
        <w:t>§ 2</w:t>
      </w:r>
      <w:r>
        <w:rPr>
          <w:b/>
        </w:rPr>
        <w:t>3</w:t>
      </w:r>
      <w:r>
        <w:rPr>
          <w:b/>
        </w:rPr>
        <w:t>. </w:t>
      </w:r>
      <w:r>
        <w:rPr>
          <w:color w:val="000000"/>
          <w:u w:color="000000"/>
        </w:rPr>
        <w:t>Zobowiązuje się Dyrektora Gdańskiego Zarządu Dróg i Zieleni do przeprowadzenia</w:t>
      </w:r>
      <w:r>
        <w:rPr>
          <w:color w:val="000000"/>
          <w:u w:color="000000"/>
        </w:rPr>
        <w:t>,</w:t>
      </w:r>
      <w:r>
        <w:rPr>
          <w:color w:val="000000"/>
          <w:u w:color="000000"/>
        </w:rPr>
        <w:t xml:space="preserve"> w </w:t>
      </w:r>
      <w:r>
        <w:rPr>
          <w:color w:val="000000"/>
          <w:u w:color="000000"/>
        </w:rPr>
        <w:t>terminie</w:t>
      </w:r>
      <w:r>
        <w:rPr>
          <w:color w:val="000000"/>
          <w:u w:color="000000"/>
        </w:rPr>
        <w:t xml:space="preserve"> 24 miesięcy od wejścia w życie</w:t>
      </w:r>
      <w:r>
        <w:rPr>
          <w:color w:val="000000"/>
          <w:u w:color="000000"/>
        </w:rPr>
        <w:t xml:space="preserve"> </w:t>
      </w:r>
      <w:r>
        <w:rPr>
          <w:color w:val="000000"/>
          <w:u w:color="000000"/>
        </w:rPr>
        <w:t>zarządzenia</w:t>
      </w:r>
      <w:r>
        <w:rPr>
          <w:color w:val="000000"/>
          <w:u w:color="000000"/>
        </w:rPr>
        <w:t>,</w:t>
      </w:r>
      <w:r>
        <w:rPr>
          <w:color w:val="000000"/>
          <w:u w:color="000000"/>
        </w:rPr>
        <w:t xml:space="preserve"> pilotażowego programu utrzymania dróg publicznych w wybranej lokalizacji miasta Gdańska z ograniczeniem użycia soli drogowej NaCl.</w:t>
      </w:r>
    </w:p>
    <w:p w14:paraId="1CD1E1D4" w14:textId="77777777" w:rsidR="001771A2" w:rsidRDefault="00D9625D">
      <w:pPr>
        <w:keepNext/>
        <w:keepLines/>
        <w:spacing w:line="360" w:lineRule="auto"/>
        <w:jc w:val="center"/>
        <w:rPr>
          <w:color w:val="000000"/>
          <w:u w:color="000000"/>
        </w:rPr>
      </w:pPr>
      <w:r>
        <w:rPr>
          <w:b/>
        </w:rPr>
        <w:t>Rozdział 10.</w:t>
      </w:r>
      <w:r>
        <w:rPr>
          <w:color w:val="000000"/>
          <w:u w:color="000000"/>
        </w:rPr>
        <w:br/>
      </w:r>
      <w:r>
        <w:rPr>
          <w:b/>
          <w:color w:val="000000"/>
          <w:u w:color="000000"/>
        </w:rPr>
        <w:t>Wsparcie inicjatyw zewnętrznych w kształtowanie i utrzymanie zieleni</w:t>
      </w:r>
    </w:p>
    <w:p w14:paraId="3AD14141" w14:textId="77777777" w:rsidR="001771A2" w:rsidRDefault="00D9625D">
      <w:pPr>
        <w:keepLines/>
        <w:spacing w:before="120" w:after="120"/>
        <w:ind w:firstLine="340"/>
        <w:rPr>
          <w:color w:val="000000"/>
          <w:u w:color="000000"/>
        </w:rPr>
      </w:pPr>
      <w:r>
        <w:rPr>
          <w:b/>
        </w:rPr>
        <w:t>§ 2</w:t>
      </w:r>
      <w:r>
        <w:rPr>
          <w:b/>
        </w:rPr>
        <w:t>4</w:t>
      </w:r>
      <w:r>
        <w:rPr>
          <w:b/>
        </w:rPr>
        <w:t>. </w:t>
      </w:r>
      <w:r>
        <w:rPr>
          <w:color w:val="000000"/>
          <w:u w:color="000000"/>
        </w:rPr>
        <w:t>Jednostki organizacyjne Gminy Miasta Gdańska, wymienione</w:t>
      </w:r>
      <w:r>
        <w:rPr>
          <w:color w:val="000000"/>
          <w:u w:color="000000"/>
        </w:rPr>
        <w:t xml:space="preserve"> </w:t>
      </w:r>
      <w:r>
        <w:rPr>
          <w:color w:val="000000"/>
          <w:u w:color="000000"/>
        </w:rPr>
        <w:t>w § 2, sformułują listę potencjalnych zadań z zakresu kształtowania i utrzymania zieleni do realizacji w ramach Zielonego Funduszu, w które inwestorzy zewnętrzni będą mogli się zaangażować finansowo. Lista będzie sukcesywnie aktualizowana i rozszerzana.</w:t>
      </w:r>
    </w:p>
    <w:p w14:paraId="08C14025" w14:textId="77777777" w:rsidR="001771A2" w:rsidRDefault="00D9625D">
      <w:pPr>
        <w:keepLines/>
        <w:spacing w:before="120" w:after="120"/>
        <w:ind w:firstLine="340"/>
        <w:rPr>
          <w:color w:val="000000"/>
          <w:u w:color="000000"/>
        </w:rPr>
      </w:pPr>
      <w:r>
        <w:rPr>
          <w:b/>
        </w:rPr>
        <w:t>§ 2</w:t>
      </w:r>
      <w:r>
        <w:rPr>
          <w:b/>
        </w:rPr>
        <w:t>5</w:t>
      </w:r>
      <w:r>
        <w:rPr>
          <w:b/>
        </w:rPr>
        <w:t>. </w:t>
      </w:r>
      <w:r>
        <w:rPr>
          <w:color w:val="000000"/>
          <w:u w:color="000000"/>
        </w:rPr>
        <w:t xml:space="preserve">W celu wsparcia mieszkańców w działaniach zmierzających do zazielenienia miasta Gdańska, w ramach corocznego programu „Wspólne Podwórko” Gdańskie Nieruchomości Samorządowy Zakład </w:t>
      </w:r>
      <w:r>
        <w:rPr>
          <w:color w:val="000000"/>
          <w:u w:color="000000"/>
        </w:rPr>
        <w:t>B</w:t>
      </w:r>
      <w:r>
        <w:rPr>
          <w:color w:val="000000"/>
          <w:u w:color="000000"/>
        </w:rPr>
        <w:t>udżetowy przeznaczać będzie środki finansowe na zagospodarowanie zapleczy podwórzowych, przy czym priorytetowo traktowane będą wnioski przewidujące nasadzenia i utrzymanie drzew na podwórzu.</w:t>
      </w:r>
    </w:p>
    <w:p w14:paraId="78C683A2" w14:textId="77777777" w:rsidR="001771A2" w:rsidRDefault="00D9625D">
      <w:pPr>
        <w:keepNext/>
        <w:keepLines/>
        <w:spacing w:line="360" w:lineRule="auto"/>
        <w:jc w:val="center"/>
        <w:rPr>
          <w:color w:val="000000"/>
          <w:u w:color="000000"/>
        </w:rPr>
      </w:pPr>
      <w:r>
        <w:rPr>
          <w:b/>
        </w:rPr>
        <w:t>Rozdział 11.</w:t>
      </w:r>
      <w:r>
        <w:rPr>
          <w:color w:val="000000"/>
          <w:u w:color="000000"/>
        </w:rPr>
        <w:br/>
      </w:r>
      <w:r>
        <w:rPr>
          <w:b/>
          <w:color w:val="000000"/>
          <w:u w:color="000000"/>
        </w:rPr>
        <w:t>Postanowienia końcowe</w:t>
      </w:r>
    </w:p>
    <w:p w14:paraId="72B4E6E5" w14:textId="77777777" w:rsidR="001771A2" w:rsidRDefault="00D9625D">
      <w:pPr>
        <w:keepLines/>
        <w:spacing w:before="120" w:after="120"/>
        <w:ind w:firstLine="340"/>
        <w:rPr>
          <w:color w:val="000000"/>
          <w:u w:color="000000"/>
        </w:rPr>
      </w:pPr>
      <w:r>
        <w:rPr>
          <w:b/>
        </w:rPr>
        <w:t>§ 2</w:t>
      </w:r>
      <w:r>
        <w:rPr>
          <w:b/>
        </w:rPr>
        <w:t>6</w:t>
      </w:r>
      <w:r>
        <w:rPr>
          <w:b/>
        </w:rPr>
        <w:t>. </w:t>
      </w:r>
      <w:r>
        <w:t>Z</w:t>
      </w:r>
      <w:r>
        <w:rPr>
          <w:color w:val="000000"/>
          <w:u w:color="000000"/>
        </w:rPr>
        <w:t>obowiązuje się Dyrektorów Wydziałów i Biur Urzędu Miejskiego w Gdańsku oraz osoby kierujące jednostkami organizacyjnymi Gminy Miasta Gdańska wskazanymi w § 2</w:t>
      </w:r>
      <w:r>
        <w:rPr>
          <w:color w:val="000000"/>
          <w:u w:color="000000"/>
        </w:rPr>
        <w:t xml:space="preserve"> d</w:t>
      </w:r>
      <w:r>
        <w:rPr>
          <w:color w:val="000000"/>
          <w:u w:color="000000"/>
        </w:rPr>
        <w:t>o realizacji i przestrzegania zasad wynikających z zarządzenia.</w:t>
      </w:r>
    </w:p>
    <w:p w14:paraId="210AC193" w14:textId="77777777" w:rsidR="001771A2" w:rsidRDefault="00D9625D">
      <w:pPr>
        <w:keepLines/>
        <w:spacing w:before="120" w:after="120"/>
        <w:ind w:firstLine="340"/>
        <w:rPr>
          <w:color w:val="000000"/>
          <w:u w:color="000000"/>
        </w:rPr>
      </w:pPr>
      <w:r>
        <w:rPr>
          <w:b/>
        </w:rPr>
        <w:t>§ 2</w:t>
      </w:r>
      <w:r>
        <w:rPr>
          <w:b/>
        </w:rPr>
        <w:t>7</w:t>
      </w:r>
      <w:r>
        <w:rPr>
          <w:b/>
        </w:rPr>
        <w:t>. </w:t>
      </w:r>
      <w:r>
        <w:rPr>
          <w:color w:val="000000"/>
          <w:u w:color="000000"/>
        </w:rPr>
        <w:t>Nadzór nad wykonaniem zarządzenia powierza się Dyrektorowi Zarządzającemu ds. Zielonego Gdańska</w:t>
      </w:r>
      <w:r>
        <w:rPr>
          <w:color w:val="000000"/>
          <w:u w:color="000000"/>
        </w:rPr>
        <w:t>.</w:t>
      </w:r>
    </w:p>
    <w:p w14:paraId="34B0EAE9" w14:textId="77777777" w:rsidR="001771A2" w:rsidRDefault="00D9625D">
      <w:pPr>
        <w:keepLines/>
        <w:spacing w:before="120" w:after="120"/>
        <w:ind w:firstLine="340"/>
        <w:rPr>
          <w:color w:val="000000"/>
          <w:u w:color="000000"/>
        </w:rPr>
      </w:pPr>
      <w:r>
        <w:rPr>
          <w:b/>
        </w:rPr>
        <w:t>§ 2</w:t>
      </w:r>
      <w:r>
        <w:rPr>
          <w:b/>
        </w:rPr>
        <w:t>8</w:t>
      </w:r>
      <w:r>
        <w:rPr>
          <w:b/>
        </w:rPr>
        <w:t>. </w:t>
      </w:r>
      <w:r>
        <w:rPr>
          <w:color w:val="000000"/>
          <w:u w:color="000000"/>
        </w:rPr>
        <w:t>Zarządzenie wchodzi w życie z dniem podpisania.</w:t>
      </w:r>
    </w:p>
    <w:tbl>
      <w:tblPr>
        <w:tblStyle w:val="Tabela-Prosty1"/>
        <w:tblW w:w="5000" w:type="pct"/>
        <w:tblBorders>
          <w:top w:val="none" w:sz="4" w:space="0" w:color="000000"/>
          <w:left w:val="none" w:sz="4" w:space="0" w:color="000000"/>
          <w:bottom w:val="none" w:sz="4" w:space="0" w:color="000000"/>
          <w:right w:val="none" w:sz="4" w:space="0" w:color="000000"/>
        </w:tblBorders>
        <w:tblLook w:val="04A0" w:firstRow="1" w:lastRow="0" w:firstColumn="1" w:lastColumn="0" w:noHBand="0" w:noVBand="1"/>
      </w:tblPr>
      <w:tblGrid>
        <w:gridCol w:w="4933"/>
        <w:gridCol w:w="4933"/>
      </w:tblGrid>
      <w:tr w:rsidR="001771A2" w14:paraId="3873E6D7" w14:textId="77777777">
        <w:tc>
          <w:tcPr>
            <w:tcW w:w="2500" w:type="pct"/>
            <w:tcBorders>
              <w:right w:val="none" w:sz="4" w:space="0" w:color="000000"/>
            </w:tcBorders>
          </w:tcPr>
          <w:p w14:paraId="0230C391" w14:textId="77777777" w:rsidR="001771A2" w:rsidRDefault="001771A2">
            <w:pPr>
              <w:keepLines/>
              <w:spacing w:before="120" w:after="120"/>
              <w:rPr>
                <w:color w:val="000000"/>
                <w:u w:color="000000"/>
              </w:rPr>
            </w:pPr>
          </w:p>
        </w:tc>
        <w:tc>
          <w:tcPr>
            <w:tcW w:w="2500" w:type="pct"/>
            <w:tcBorders>
              <w:left w:val="none" w:sz="4" w:space="0" w:color="000000"/>
            </w:tcBorders>
          </w:tcPr>
          <w:p w14:paraId="23CB39C4" w14:textId="77777777" w:rsidR="001771A2" w:rsidRDefault="00D9625D">
            <w:pPr>
              <w:keepLines/>
              <w:spacing w:before="120" w:after="120"/>
              <w:jc w:val="center"/>
              <w:rPr>
                <w:color w:val="000000"/>
                <w:u w:color="000000"/>
              </w:rPr>
            </w:pPr>
            <w:r>
              <w:rPr>
                <w:color w:val="000000"/>
                <w:u w:color="000000"/>
              </w:rPr>
              <w:fldChar w:fldCharType="begin"/>
            </w:r>
            <w:r>
              <w:rPr>
                <w:color w:val="000000"/>
                <w:u w:color="000000"/>
              </w:rPr>
              <w:instrText>SIGNATURE_0_1_FUNCTION</w:instrText>
            </w:r>
            <w:r>
              <w:rPr>
                <w:color w:val="000000"/>
                <w:u w:color="000000"/>
              </w:rPr>
              <w:fldChar w:fldCharType="separate"/>
            </w:r>
            <w:r>
              <w:rPr>
                <w:color w:val="000000"/>
                <w:u w:color="000000"/>
              </w:rPr>
              <w:t>PREZYDENT MIASTA GDAŃSKA</w:t>
            </w:r>
            <w:r>
              <w:rPr>
                <w:color w:val="000000"/>
                <w:u w:color="000000"/>
              </w:rPr>
              <w:fldChar w:fldCharType="end"/>
            </w:r>
          </w:p>
          <w:p w14:paraId="4673CE80" w14:textId="77777777" w:rsidR="001771A2" w:rsidRDefault="00D9625D">
            <w:pPr>
              <w:keepLines/>
              <w:spacing w:before="120" w:after="120"/>
              <w:jc w:val="center"/>
              <w:rPr>
                <w:color w:val="000000"/>
                <w:u w:color="000000"/>
              </w:rPr>
            </w:pPr>
            <w:r>
              <w:rPr>
                <w:color w:val="000000"/>
                <w:u w:color="000000"/>
              </w:rPr>
              <w:t xml:space="preserve"> </w:t>
            </w:r>
          </w:p>
          <w:p w14:paraId="63C5DB1E" w14:textId="77777777" w:rsidR="001771A2" w:rsidRDefault="00D9625D">
            <w:pPr>
              <w:keepLines/>
              <w:spacing w:before="120" w:after="120"/>
              <w:jc w:val="center"/>
              <w:rPr>
                <w:color w:val="000000"/>
                <w:u w:color="000000"/>
              </w:rPr>
            </w:pPr>
            <w:r>
              <w:rPr>
                <w:color w:val="000000"/>
                <w:u w:color="000000"/>
              </w:rPr>
              <w:fldChar w:fldCharType="begin"/>
            </w:r>
            <w:r>
              <w:rPr>
                <w:color w:val="000000"/>
                <w:u w:color="000000"/>
              </w:rPr>
              <w:instrText>SIGNATURE_0_1_FIRSTNAME</w:instrText>
            </w:r>
            <w:r>
              <w:rPr>
                <w:color w:val="000000"/>
                <w:u w:color="000000"/>
              </w:rPr>
              <w:fldChar w:fldCharType="separate"/>
            </w:r>
            <w:r>
              <w:rPr>
                <w:b/>
                <w:color w:val="000000"/>
                <w:u w:color="000000"/>
              </w:rPr>
              <w:t xml:space="preserve">Aleksandra </w:t>
            </w:r>
            <w:r>
              <w:rPr>
                <w:color w:val="000000"/>
                <w:u w:color="000000"/>
              </w:rPr>
              <w:fldChar w:fldCharType="end"/>
            </w:r>
            <w:r>
              <w:rPr>
                <w:color w:val="000000"/>
                <w:u w:color="000000"/>
              </w:rPr>
              <w:fldChar w:fldCharType="begin"/>
            </w:r>
            <w:r>
              <w:rPr>
                <w:color w:val="000000"/>
                <w:u w:color="000000"/>
              </w:rPr>
              <w:instrText>SIGNATURE_0_1_LASTNAME</w:instrText>
            </w:r>
            <w:r>
              <w:rPr>
                <w:color w:val="000000"/>
                <w:u w:color="000000"/>
              </w:rPr>
              <w:fldChar w:fldCharType="separate"/>
            </w:r>
            <w:proofErr w:type="spellStart"/>
            <w:r>
              <w:rPr>
                <w:b/>
                <w:color w:val="000000"/>
                <w:u w:color="000000"/>
              </w:rPr>
              <w:t>Dulkiewicz</w:t>
            </w:r>
            <w:proofErr w:type="spellEnd"/>
            <w:r>
              <w:rPr>
                <w:color w:val="000000"/>
                <w:u w:color="000000"/>
              </w:rPr>
              <w:fldChar w:fldCharType="end"/>
            </w:r>
          </w:p>
        </w:tc>
      </w:tr>
    </w:tbl>
    <w:p w14:paraId="516B90E2" w14:textId="77777777" w:rsidR="001771A2" w:rsidRDefault="001771A2">
      <w:pPr>
        <w:keepLines/>
        <w:spacing w:before="120" w:after="120"/>
        <w:ind w:firstLine="340"/>
        <w:rPr>
          <w:color w:val="000000"/>
          <w:u w:color="000000"/>
        </w:rPr>
      </w:pPr>
    </w:p>
    <w:sectPr w:rsidR="001771A2">
      <w:endnotePr>
        <w:numFmt w:val="decimal"/>
      </w:endnotePr>
      <w:pgSz w:w="11906" w:h="16838"/>
      <w:pgMar w:top="1417" w:right="1020" w:bottom="992" w:left="102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F7C3F9E4-0BC6-44ED-8B36-AF9F7E288D43}"/>
  </w:docVars>
  <w:rsids>
    <w:rsidRoot w:val="001771A2"/>
    <w:rsid w:val="001771A2"/>
    <w:rsid w:val="008E3F15"/>
    <w:rsid w:val="00D962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637DA"/>
  <w15:docId w15:val="{F351B039-3B5B-4394-AF44-3A8643B30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pl-P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jc w:val="both"/>
    </w:pPr>
    <w:rPr>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wiersza">
    <w:name w:val="line number"/>
    <w:basedOn w:val="Domylnaczcionkaakapitu"/>
    <w:semiHidden/>
  </w:style>
  <w:style w:type="character" w:styleId="Hipercze">
    <w:name w:val="Hyperlink"/>
    <w:rPr>
      <w:color w:val="0000FF"/>
      <w:u w:val="single"/>
    </w:rPr>
  </w:style>
  <w:style w:type="table" w:styleId="Tabela-Prosty1">
    <w:name w:val="Table Simple 1"/>
    <w:basedOn w:val="Standardowy"/>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ur04.safelinks.protection.outlook.com/?url=https%3A%2F%2Fdownload.cloudgdansk.pl%2Fgzdiz-pl%2Fd%2F2024105743%2Fstandard-inspekcji-i-diagnostyki-drzew.pdf&amp;data=05%7C02%7Cmaria.jazwinska%40gdansk.gda.pl%7C04308fcc6a5b4a32c11a08dd46910f18%7Cc2f1b88d9cd14cf9b805305fe0a418fc%7C0%7C0%7C638744311024334440%7CUnknown%7CTWFpbGZsb3d8eyJFbXB0eU1hcGkiOnRydWUsIlYiOiIwLjAuMDAwMCIsIlAiOiJXaW4zMiIsIkFOIjoiTWFpbCIsIldUIjoyfQ%3D%3D%7C0%7C%7C%7C&amp;sdata=aYM8OzL%2Bi%2BXdS8uUdGuKCISwcTyZUGSvWBXQMQ%2BWGOM%3D&amp;reserved=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eur04.safelinks.protection.outlook.com/?url=https%3A%2F%2Fdownload.cloudgdansk.pl%2Fgzdiz-pl%2Fd%2F2024105742%2Fstandard-ciecia-i-pielegnacji-drzew.pdf&amp;data=05%7C02%7Cmaria.jazwinska%40gdansk.gda.pl%7C04308fcc6a5b4a32c11a08dd46910f18%7Cc2f1b88d9cd14cf9b805305fe0a418fc%7C0%7C0%7C638744311024302621%7CUnknown%7CTWFpbGZsb3d8eyJFbXB0eU1hcGkiOnRydWUsIlYiOiIwLjAuMDAwMCIsIlAiOiJXaW4zMiIsIkFOIjoiTWFpbCIsIldUIjoyfQ%3D%3D%7C0%7C%7C%7C&amp;sdata=hrNoVKe5GZQtXLLbCbT%2FiupRn3CXCNvsADjlWY5T9JU%3D&amp;reserved=0" TargetMode="External"/><Relationship Id="rId5" Type="http://schemas.openxmlformats.org/officeDocument/2006/relationships/hyperlink" Target="https://eur04.safelinks.protection.outlook.com/?url=https%3A%2F%2Fdownload.cloudgdansk.pl%2Fgzdiz-pl%2Fd%2F2024105744%2Fstandard-ochrony-drzew-i-innych-form-zielenie-w-procesie-inwestycyjnym.pdf&amp;data=05%7C02%7Cmaria.jazwinska%40gdansk.gda.pl%7C04308fcc6a5b4a32c11a08dd46910f18%7Cc2f1b88d9cd14cf9b805305fe0a418fc%7C0%7C0%7C638744311024355977%7CUnknown%7CTWFpbGZsb3d8eyJFbXB0eU1hcGkiOnRydWUsIlYiOiIwLjAuMDAwMCIsIlAiOiJXaW4zMiIsIkFOIjoiTWFpbCIsIldUIjoyfQ%3D%3D%7C0%7C%7C%7C&amp;sdata=g55IOMFXph7%2FK5abED9QR3gQ5HTCdQrtjf7hVHkWYEA%3D&amp;reserved=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F7C3F9E4-0BC6-44ED-8B36-AF9F7E288D43}">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3801</Words>
  <Characters>22808</Characters>
  <Application>Microsoft Office Word</Application>
  <DocSecurity>4</DocSecurity>
  <Lines>190</Lines>
  <Paragraphs>53</Paragraphs>
  <ScaleCrop>false</ScaleCrop>
  <Company/>
  <LinksUpToDate>false</LinksUpToDate>
  <CharactersWithSpaces>26556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Zarządzenie</dc:title>
  <dc:subject>w sprawie wprowadzenia  "Gdańskiej Karty dla Drzew"</dc:subject>
  <dc:creator>jazwinska.m</dc:creator>
  <cp:lastModifiedBy>Mikielewicz Wiesława</cp:lastModifiedBy>
  <cp:revision>2</cp:revision>
  <cp:lastPrinted>2025-02-18T08:22:00Z</cp:lastPrinted>
  <dcterms:created xsi:type="dcterms:W3CDTF">2025-02-18T08:22:00Z</dcterms:created>
  <dcterms:modified xsi:type="dcterms:W3CDTF">2025-02-18T08:22:00Z</dcterms:modified>
  <cp:category>Akt prawny</cp:category>
</cp:coreProperties>
</file>